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1938" w:rsidRPr="00AD74B0" w:rsidRDefault="008A06E8" w:rsidP="001D754D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0568D1" w:rsidRPr="00F30125" w:rsidRDefault="000568D1" w:rsidP="00F30125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8711A4" w:rsidRPr="008711A4" w:rsidRDefault="008711A4" w:rsidP="00B85A93">
      <w:pPr>
        <w:tabs>
          <w:tab w:val="left" w:pos="0"/>
          <w:tab w:val="left" w:pos="8475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341BDD">
        <w:rPr>
          <w:rFonts w:eastAsia="Times New Roman"/>
          <w:b/>
          <w:lang w:val="ro-RO"/>
        </w:rPr>
        <w:t xml:space="preserve"> nr. 67</w:t>
      </w:r>
      <w:r w:rsidR="00E23AB2">
        <w:rPr>
          <w:rFonts w:eastAsia="Times New Roman"/>
          <w:b/>
          <w:lang w:val="ro-RO"/>
        </w:rPr>
        <w:t>/</w:t>
      </w:r>
      <w:r w:rsidR="00BF5302">
        <w:rPr>
          <w:rFonts w:eastAsia="Times New Roman"/>
          <w:b/>
          <w:lang w:val="ro-RO"/>
        </w:rPr>
        <w:t>27</w:t>
      </w:r>
      <w:r w:rsidR="00E23AB2">
        <w:rPr>
          <w:rFonts w:eastAsia="Times New Roman"/>
          <w:b/>
          <w:lang w:val="ro-RO"/>
        </w:rPr>
        <w:t>.10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>
        <w:rPr>
          <w:rFonts w:eastAsia="Times New Roman"/>
          <w:b/>
          <w:szCs w:val="28"/>
          <w:lang w:val="ro-RO"/>
        </w:rPr>
        <w:t xml:space="preserve">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>
        <w:rPr>
          <w:rFonts w:eastAsia="Times New Roman"/>
          <w:b/>
          <w:szCs w:val="28"/>
          <w:lang w:val="ro-RO"/>
        </w:rPr>
        <w:t>unităţi</w:t>
      </w:r>
      <w:proofErr w:type="spellEnd"/>
      <w:r w:rsidR="00F21492">
        <w:rPr>
          <w:rFonts w:eastAsia="Times New Roman"/>
          <w:b/>
          <w:szCs w:val="28"/>
          <w:lang w:val="ro-RO"/>
        </w:rPr>
        <w:t xml:space="preserve">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>
        <w:rPr>
          <w:rFonts w:eastAsia="Times New Roman"/>
          <w:b/>
          <w:szCs w:val="28"/>
          <w:lang w:val="ro-RO"/>
        </w:rPr>
        <w:t>judeţul</w:t>
      </w:r>
      <w:proofErr w:type="spellEnd"/>
      <w:r w:rsidR="00797922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>
        <w:rPr>
          <w:rFonts w:eastAsia="Times New Roman"/>
          <w:b/>
          <w:szCs w:val="28"/>
          <w:lang w:val="ro-RO"/>
        </w:rPr>
        <w:t>Dâmboviţa</w:t>
      </w:r>
      <w:proofErr w:type="spellEnd"/>
    </w:p>
    <w:p w:rsidR="00F14E7D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F14E7D" w:rsidRPr="00E176D2" w:rsidRDefault="00F14E7D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art. 4 din Anexa 2 </w:t>
      </w:r>
      <w:proofErr w:type="spellStart"/>
      <w:r w:rsidR="008C70A2">
        <w:rPr>
          <w:rFonts w:eastAsia="Times New Roman"/>
          <w:szCs w:val="28"/>
          <w:lang w:val="ro-RO"/>
        </w:rPr>
        <w:t>şi</w:t>
      </w:r>
      <w:proofErr w:type="spellEnd"/>
      <w:r w:rsidR="008C70A2">
        <w:rPr>
          <w:rFonts w:eastAsia="Times New Roman"/>
          <w:szCs w:val="28"/>
          <w:lang w:val="ro-RO"/>
        </w:rPr>
        <w:t xml:space="preserve"> cele ale art. 12 din Anexa 3 ale </w:t>
      </w:r>
      <w:r w:rsidR="00C55709" w:rsidRPr="00E176D2">
        <w:rPr>
          <w:rFonts w:eastAsiaTheme="minorHAnsi"/>
          <w:szCs w:val="28"/>
          <w:lang w:val="ro-RO"/>
        </w:rPr>
        <w:t>H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>G</w:t>
      </w:r>
      <w:r w:rsidR="00587512">
        <w:rPr>
          <w:rFonts w:eastAsiaTheme="minorHAnsi"/>
          <w:szCs w:val="28"/>
          <w:lang w:val="ro-RO"/>
        </w:rPr>
        <w:t>.</w:t>
      </w:r>
      <w:r w:rsidR="00C55709" w:rsidRPr="00E176D2">
        <w:rPr>
          <w:rFonts w:eastAsiaTheme="minorHAnsi"/>
          <w:szCs w:val="28"/>
          <w:lang w:val="ro-RO"/>
        </w:rPr>
        <w:t xml:space="preserve"> nr.</w:t>
      </w:r>
      <w:r w:rsidR="00273298">
        <w:rPr>
          <w:rFonts w:eastAsiaTheme="minorHAnsi"/>
          <w:szCs w:val="28"/>
          <w:lang w:val="ro-RO"/>
        </w:rPr>
        <w:t>856</w:t>
      </w:r>
      <w:r w:rsidR="00C273D7">
        <w:rPr>
          <w:rFonts w:eastAsiaTheme="minorHAnsi"/>
          <w:szCs w:val="28"/>
          <w:lang w:val="ro-RO"/>
        </w:rPr>
        <w:t>/</w:t>
      </w:r>
      <w:r w:rsidR="00273298">
        <w:rPr>
          <w:rFonts w:eastAsiaTheme="minorHAnsi"/>
          <w:szCs w:val="28"/>
          <w:lang w:val="ro-RO"/>
        </w:rPr>
        <w:t>14.10.</w:t>
      </w:r>
      <w:r w:rsidR="00C273D7">
        <w:rPr>
          <w:rFonts w:eastAsiaTheme="minorHAnsi"/>
          <w:szCs w:val="28"/>
          <w:lang w:val="ro-RO"/>
        </w:rPr>
        <w:t xml:space="preserve">2020 </w:t>
      </w:r>
      <w:r w:rsidR="00C55709" w:rsidRPr="00E176D2">
        <w:rPr>
          <w:rFonts w:eastAsiaTheme="minorHAnsi"/>
          <w:szCs w:val="28"/>
          <w:lang w:val="ro-RO"/>
        </w:rPr>
        <w:t xml:space="preserve">privind prelungirea stării de alertă </w:t>
      </w:r>
      <w:r w:rsidR="00194967">
        <w:rPr>
          <w:rFonts w:eastAsiaTheme="minorHAnsi"/>
          <w:szCs w:val="28"/>
          <w:lang w:val="ro-RO"/>
        </w:rPr>
        <w:t>pe teritoriul României</w:t>
      </w:r>
      <w:r w:rsidR="005D7EF9">
        <w:rPr>
          <w:rFonts w:eastAsiaTheme="minorHAnsi"/>
          <w:szCs w:val="28"/>
          <w:lang w:val="ro-RO"/>
        </w:rPr>
        <w:t xml:space="preserve"> începând cu data de 15 octombrie 2020</w:t>
      </w:r>
      <w:r w:rsidR="00194967">
        <w:rPr>
          <w:rFonts w:eastAsiaTheme="minorHAnsi"/>
          <w:szCs w:val="28"/>
          <w:lang w:val="ro-RO"/>
        </w:rPr>
        <w:t xml:space="preserve">, precum </w:t>
      </w:r>
      <w:proofErr w:type="spellStart"/>
      <w:r w:rsidR="00194967">
        <w:rPr>
          <w:rFonts w:eastAsiaTheme="minorHAnsi"/>
          <w:szCs w:val="28"/>
          <w:lang w:val="ro-RO"/>
        </w:rPr>
        <w:t>şi</w:t>
      </w:r>
      <w:proofErr w:type="spellEnd"/>
      <w:r w:rsidR="00797922">
        <w:rPr>
          <w:rFonts w:eastAsiaTheme="minorHAnsi"/>
          <w:szCs w:val="28"/>
          <w:lang w:val="ro-RO"/>
        </w:rPr>
        <w:t xml:space="preserve"> </w:t>
      </w:r>
      <w:r w:rsidR="005D7EF9">
        <w:rPr>
          <w:rFonts w:eastAsiaTheme="minorHAnsi"/>
          <w:szCs w:val="28"/>
          <w:lang w:val="ro-RO"/>
        </w:rPr>
        <w:t>stabilirea</w:t>
      </w:r>
      <w:r w:rsidR="00C55709" w:rsidRPr="00E176D2">
        <w:rPr>
          <w:rFonts w:eastAsiaTheme="minorHAnsi"/>
          <w:szCs w:val="28"/>
          <w:lang w:val="ro-RO"/>
        </w:rPr>
        <w:t xml:space="preserve"> măsurilor </w:t>
      </w:r>
      <w:r w:rsidR="005F2914">
        <w:rPr>
          <w:rFonts w:eastAsiaTheme="minorHAnsi"/>
          <w:szCs w:val="28"/>
          <w:lang w:val="ro-RO"/>
        </w:rPr>
        <w:t>care se aplică</w:t>
      </w:r>
      <w:r w:rsidR="00C55709" w:rsidRPr="00E176D2">
        <w:rPr>
          <w:rFonts w:eastAsiaTheme="minorHAnsi"/>
          <w:szCs w:val="28"/>
          <w:lang w:val="ro-RO"/>
        </w:rPr>
        <w:t xml:space="preserve"> pe durata acesteia pentru prevenirea </w:t>
      </w:r>
      <w:proofErr w:type="spellStart"/>
      <w:r w:rsidR="00C55709" w:rsidRPr="00E176D2">
        <w:rPr>
          <w:rFonts w:eastAsiaTheme="minorHAnsi"/>
          <w:szCs w:val="28"/>
          <w:lang w:val="ro-RO"/>
        </w:rPr>
        <w:t>şi</w:t>
      </w:r>
      <w:proofErr w:type="spellEnd"/>
      <w:r w:rsidR="00C55709" w:rsidRPr="00E176D2">
        <w:rPr>
          <w:rFonts w:eastAsiaTheme="minorHAnsi"/>
          <w:szCs w:val="28"/>
          <w:lang w:val="ro-RO"/>
        </w:rPr>
        <w:t xml:space="preserve"> combaterea efectelor pandemiei de COVID-19;</w:t>
      </w:r>
    </w:p>
    <w:p w:rsidR="008036BF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val="ro-RO"/>
        </w:rPr>
        <w:t xml:space="preserve">- adresa </w:t>
      </w:r>
      <w:proofErr w:type="spellStart"/>
      <w:r w:rsidR="00C273D7">
        <w:rPr>
          <w:rFonts w:eastAsiaTheme="minorHAnsi"/>
          <w:szCs w:val="28"/>
          <w:lang w:val="ro-RO"/>
        </w:rPr>
        <w:t>Direcţ</w:t>
      </w:r>
      <w:r w:rsidR="00C55709" w:rsidRPr="00E176D2">
        <w:rPr>
          <w:rFonts w:eastAsiaTheme="minorHAnsi"/>
          <w:szCs w:val="28"/>
          <w:lang w:val="ro-RO"/>
        </w:rPr>
        <w:t>ie</w:t>
      </w:r>
      <w:r w:rsidR="00C273D7">
        <w:rPr>
          <w:rFonts w:eastAsiaTheme="minorHAnsi"/>
          <w:szCs w:val="28"/>
          <w:lang w:val="ro-RO"/>
        </w:rPr>
        <w:t>i</w:t>
      </w:r>
      <w:proofErr w:type="spellEnd"/>
      <w:r w:rsidR="00C273D7">
        <w:rPr>
          <w:rFonts w:eastAsiaTheme="minorHAnsi"/>
          <w:szCs w:val="28"/>
          <w:lang w:val="ro-RO"/>
        </w:rPr>
        <w:t xml:space="preserve"> de Sănătate Publică </w:t>
      </w:r>
      <w:proofErr w:type="spellStart"/>
      <w:r w:rsidR="00C273D7">
        <w:rPr>
          <w:rFonts w:eastAsiaTheme="minorHAnsi"/>
          <w:szCs w:val="28"/>
          <w:lang w:val="ro-RO"/>
        </w:rPr>
        <w:t>Dâmboviţ</w:t>
      </w:r>
      <w:r w:rsidR="00E20B93">
        <w:rPr>
          <w:rFonts w:eastAsiaTheme="minorHAnsi"/>
          <w:szCs w:val="28"/>
          <w:lang w:val="ro-RO"/>
        </w:rPr>
        <w:t>a</w:t>
      </w:r>
      <w:proofErr w:type="spellEnd"/>
      <w:r w:rsidR="00C273D7">
        <w:rPr>
          <w:rFonts w:eastAsiaTheme="minorHAnsi"/>
          <w:szCs w:val="28"/>
          <w:lang w:val="ro-RO"/>
        </w:rPr>
        <w:t xml:space="preserve"> înregistrată la </w:t>
      </w:r>
      <w:proofErr w:type="spellStart"/>
      <w:r w:rsidR="00C273D7">
        <w:rPr>
          <w:rFonts w:eastAsiaTheme="minorHAnsi"/>
          <w:szCs w:val="28"/>
          <w:lang w:val="ro-RO"/>
        </w:rPr>
        <w:t>Instituţ</w:t>
      </w:r>
      <w:r w:rsidR="00872529">
        <w:rPr>
          <w:rFonts w:eastAsiaTheme="minorHAnsi"/>
          <w:szCs w:val="28"/>
          <w:lang w:val="ro-RO"/>
        </w:rPr>
        <w:t>ia</w:t>
      </w:r>
      <w:proofErr w:type="spellEnd"/>
      <w:r w:rsidR="00872529">
        <w:rPr>
          <w:rFonts w:eastAsiaTheme="minorHAnsi"/>
          <w:szCs w:val="28"/>
          <w:lang w:val="ro-RO"/>
        </w:rPr>
        <w:t xml:space="preserve"> Prefectului-</w:t>
      </w:r>
      <w:proofErr w:type="spellStart"/>
      <w:r w:rsidR="00872529">
        <w:rPr>
          <w:rFonts w:eastAsiaTheme="minorHAnsi"/>
          <w:szCs w:val="28"/>
          <w:lang w:val="ro-RO"/>
        </w:rPr>
        <w:t>j</w:t>
      </w:r>
      <w:r w:rsidR="00C273D7">
        <w:rPr>
          <w:rFonts w:eastAsiaTheme="minorHAnsi"/>
          <w:szCs w:val="28"/>
          <w:lang w:val="ro-RO"/>
        </w:rPr>
        <w:t>udeţ</w:t>
      </w:r>
      <w:r w:rsidR="00E51848">
        <w:rPr>
          <w:rFonts w:eastAsiaTheme="minorHAnsi"/>
          <w:szCs w:val="28"/>
          <w:lang w:val="ro-RO"/>
        </w:rPr>
        <w:t>ul</w:t>
      </w:r>
      <w:proofErr w:type="spellEnd"/>
      <w:r w:rsidR="00797922">
        <w:rPr>
          <w:rFonts w:eastAsiaTheme="minorHAnsi"/>
          <w:szCs w:val="28"/>
          <w:lang w:val="ro-RO"/>
        </w:rPr>
        <w:t xml:space="preserve"> </w:t>
      </w:r>
      <w:proofErr w:type="spellStart"/>
      <w:r w:rsidR="00E51848">
        <w:rPr>
          <w:rFonts w:eastAsiaTheme="minorHAnsi"/>
          <w:szCs w:val="28"/>
          <w:lang w:val="ro-RO"/>
        </w:rPr>
        <w:t>Dâmbov</w:t>
      </w:r>
      <w:r w:rsidR="00C273D7">
        <w:rPr>
          <w:rFonts w:eastAsiaTheme="minorHAnsi"/>
          <w:szCs w:val="28"/>
          <w:lang w:val="ro-RO"/>
        </w:rPr>
        <w:t>iţ</w:t>
      </w:r>
      <w:r w:rsidR="00E51848">
        <w:rPr>
          <w:rFonts w:eastAsiaTheme="minorHAnsi"/>
          <w:szCs w:val="28"/>
          <w:lang w:val="ro-RO"/>
        </w:rPr>
        <w:t>a</w:t>
      </w:r>
      <w:proofErr w:type="spellEnd"/>
      <w:r w:rsidR="00E51848">
        <w:rPr>
          <w:rFonts w:eastAsiaTheme="minorHAnsi"/>
          <w:szCs w:val="28"/>
          <w:lang w:val="ro-RO"/>
        </w:rPr>
        <w:t xml:space="preserve"> sub nr. </w:t>
      </w:r>
      <w:r w:rsidR="00990A0C" w:rsidRPr="00990A0C">
        <w:rPr>
          <w:rFonts w:eastAsiaTheme="minorHAnsi"/>
          <w:color w:val="000000" w:themeColor="text1"/>
          <w:szCs w:val="28"/>
        </w:rPr>
        <w:t>1</w:t>
      </w:r>
      <w:r w:rsidR="002D7B2F">
        <w:rPr>
          <w:rFonts w:eastAsiaTheme="minorHAnsi"/>
          <w:color w:val="000000" w:themeColor="text1"/>
          <w:szCs w:val="28"/>
        </w:rPr>
        <w:t>1021</w:t>
      </w:r>
      <w:r w:rsidR="002D7B2F">
        <w:rPr>
          <w:rFonts w:eastAsiaTheme="minorHAnsi"/>
          <w:szCs w:val="28"/>
          <w:lang w:val="ro-RO"/>
        </w:rPr>
        <w:t>/27</w:t>
      </w:r>
      <w:r w:rsidR="00E23AB2">
        <w:rPr>
          <w:rFonts w:eastAsiaTheme="minorHAnsi"/>
          <w:szCs w:val="28"/>
          <w:lang w:val="ro-RO"/>
        </w:rPr>
        <w:t>.10</w:t>
      </w:r>
      <w:r w:rsidR="00AB14E8">
        <w:rPr>
          <w:rFonts w:eastAsiaTheme="minorHAnsi"/>
          <w:szCs w:val="28"/>
          <w:lang w:val="ro-RO"/>
        </w:rPr>
        <w:t>.2020</w:t>
      </w:r>
      <w:r w:rsidR="008036BF">
        <w:rPr>
          <w:rFonts w:eastAsiaTheme="minorHAnsi"/>
          <w:szCs w:val="28"/>
          <w:lang w:val="ro-RO"/>
        </w:rPr>
        <w:t xml:space="preserve"> prin care sunt comunicate ratele de </w:t>
      </w:r>
      <w:proofErr w:type="spellStart"/>
      <w:r w:rsidR="00C273D7">
        <w:rPr>
          <w:rFonts w:eastAsiaTheme="minorHAnsi"/>
          <w:szCs w:val="28"/>
          <w:lang w:val="ro-RO"/>
        </w:rPr>
        <w:t>incidenţ</w:t>
      </w:r>
      <w:r w:rsidR="008036BF">
        <w:rPr>
          <w:rFonts w:eastAsiaTheme="minorHAnsi"/>
          <w:szCs w:val="28"/>
          <w:lang w:val="ro-RO"/>
        </w:rPr>
        <w:t>ă</w:t>
      </w:r>
      <w:proofErr w:type="spellEnd"/>
      <w:r w:rsidR="00C55709" w:rsidRPr="00E176D2">
        <w:rPr>
          <w:rFonts w:eastAsiaTheme="minorHAnsi"/>
          <w:szCs w:val="28"/>
          <w:lang w:val="ro-RO"/>
        </w:rPr>
        <w:t xml:space="preserve"> cumulată a </w:t>
      </w:r>
      <w:r w:rsidR="00E176D2">
        <w:rPr>
          <w:rFonts w:eastAsiaTheme="minorHAnsi"/>
          <w:szCs w:val="28"/>
          <w:lang w:val="ro-RO"/>
        </w:rPr>
        <w:t>cazurilor</w:t>
      </w:r>
      <w:r w:rsidR="00C273D7">
        <w:rPr>
          <w:rFonts w:eastAsiaTheme="minorHAnsi"/>
          <w:szCs w:val="28"/>
          <w:lang w:val="ro-RO"/>
        </w:rPr>
        <w:t xml:space="preserve"> în ultimele 14 zile</w:t>
      </w:r>
      <w:r w:rsidR="008036BF">
        <w:rPr>
          <w:rFonts w:eastAsiaTheme="minorHAnsi"/>
          <w:szCs w:val="28"/>
        </w:rPr>
        <w:t>;</w:t>
      </w:r>
    </w:p>
    <w:p w:rsidR="006B309C" w:rsidRPr="00E176D2" w:rsidRDefault="006B309C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szCs w:val="28"/>
          <w:lang w:val="ro-RO"/>
        </w:rPr>
        <w:t xml:space="preserve">În considerarea aprobării tacite </w:t>
      </w:r>
      <w:r w:rsidR="005B6C2C">
        <w:rPr>
          <w:rFonts w:eastAsiaTheme="minorHAnsi"/>
          <w:szCs w:val="28"/>
          <w:lang w:val="ro-RO"/>
        </w:rPr>
        <w:t xml:space="preserve">a proiectului de </w:t>
      </w:r>
      <w:r w:rsidR="009523D5">
        <w:rPr>
          <w:rFonts w:eastAsiaTheme="minorHAnsi"/>
          <w:szCs w:val="28"/>
          <w:lang w:val="ro-RO"/>
        </w:rPr>
        <w:t xml:space="preserve">hotărâre nr. </w:t>
      </w:r>
      <w:r w:rsidR="003F6DAE">
        <w:rPr>
          <w:rFonts w:eastAsiaTheme="minorHAnsi"/>
          <w:szCs w:val="28"/>
          <w:lang w:val="ro-RO"/>
        </w:rPr>
        <w:t>6</w:t>
      </w:r>
      <w:r w:rsidR="002D7B2F">
        <w:rPr>
          <w:rFonts w:eastAsiaTheme="minorHAnsi"/>
          <w:szCs w:val="28"/>
          <w:lang w:val="ro-RO"/>
        </w:rPr>
        <w:t>7</w:t>
      </w:r>
      <w:r w:rsidR="00C273D7">
        <w:rPr>
          <w:rFonts w:eastAsiaTheme="minorHAnsi"/>
          <w:szCs w:val="28"/>
          <w:lang w:val="ro-RO"/>
        </w:rPr>
        <w:t xml:space="preserve">, comunicat spre analiză </w:t>
      </w:r>
      <w:proofErr w:type="spellStart"/>
      <w:r w:rsidR="00C273D7">
        <w:rPr>
          <w:rFonts w:eastAsiaTheme="minorHAnsi"/>
          <w:szCs w:val="28"/>
          <w:lang w:val="ro-RO"/>
        </w:rPr>
        <w:t>şi</w:t>
      </w:r>
      <w:proofErr w:type="spellEnd"/>
      <w:r w:rsidR="00C273D7">
        <w:rPr>
          <w:rFonts w:eastAsiaTheme="minorHAnsi"/>
          <w:szCs w:val="28"/>
          <w:lang w:val="ro-RO"/>
        </w:rPr>
        <w:t xml:space="preserve"> dezbatere Comitetului </w:t>
      </w:r>
      <w:proofErr w:type="spellStart"/>
      <w:r w:rsidR="00C273D7">
        <w:rPr>
          <w:rFonts w:eastAsiaTheme="minorHAnsi"/>
          <w:szCs w:val="28"/>
          <w:lang w:val="ro-RO"/>
        </w:rPr>
        <w:t>Judeţean</w:t>
      </w:r>
      <w:proofErr w:type="spellEnd"/>
      <w:r w:rsidR="00C273D7">
        <w:rPr>
          <w:rFonts w:eastAsiaTheme="minorHAnsi"/>
          <w:szCs w:val="28"/>
          <w:lang w:val="ro-RO"/>
        </w:rPr>
        <w:t xml:space="preserve"> pentru </w:t>
      </w:r>
      <w:proofErr w:type="spellStart"/>
      <w:r w:rsidR="00C273D7">
        <w:rPr>
          <w:rFonts w:eastAsiaTheme="minorHAnsi"/>
          <w:szCs w:val="28"/>
          <w:lang w:val="ro-RO"/>
        </w:rPr>
        <w:t>Situaţii</w:t>
      </w:r>
      <w:proofErr w:type="spellEnd"/>
      <w:r w:rsidR="00C273D7">
        <w:rPr>
          <w:rFonts w:eastAsiaTheme="minorHAnsi"/>
          <w:szCs w:val="28"/>
          <w:lang w:val="ro-RO"/>
        </w:rPr>
        <w:t xml:space="preserve"> de </w:t>
      </w:r>
      <w:proofErr w:type="spellStart"/>
      <w:r w:rsidR="00C273D7">
        <w:rPr>
          <w:rFonts w:eastAsiaTheme="minorHAnsi"/>
          <w:szCs w:val="28"/>
          <w:lang w:val="ro-RO"/>
        </w:rPr>
        <w:t>Urgenţ</w:t>
      </w:r>
      <w:r w:rsidR="00726AD1">
        <w:rPr>
          <w:rFonts w:eastAsiaTheme="minorHAnsi"/>
          <w:szCs w:val="28"/>
          <w:lang w:val="ro-RO"/>
        </w:rPr>
        <w:t>ă</w:t>
      </w:r>
      <w:proofErr w:type="spellEnd"/>
      <w:r w:rsidR="00E23AB2">
        <w:rPr>
          <w:rFonts w:eastAsiaTheme="minorHAnsi"/>
          <w:szCs w:val="28"/>
          <w:lang w:val="ro-RO"/>
        </w:rPr>
        <w:t xml:space="preserve"> la data de </w:t>
      </w:r>
      <w:r w:rsidR="008E72B3">
        <w:rPr>
          <w:rFonts w:eastAsiaTheme="minorHAnsi"/>
          <w:szCs w:val="28"/>
          <w:lang w:val="ro-RO"/>
        </w:rPr>
        <w:t>2</w:t>
      </w:r>
      <w:r w:rsidR="002D7B2F">
        <w:rPr>
          <w:rFonts w:eastAsiaTheme="minorHAnsi"/>
          <w:szCs w:val="28"/>
          <w:lang w:val="ro-RO"/>
        </w:rPr>
        <w:t>7</w:t>
      </w:r>
      <w:r w:rsidR="00E23AB2">
        <w:rPr>
          <w:rFonts w:eastAsiaTheme="minorHAnsi"/>
          <w:szCs w:val="28"/>
          <w:lang w:val="ro-RO"/>
        </w:rPr>
        <w:t xml:space="preserve"> octombrie</w:t>
      </w:r>
      <w:r w:rsidR="0005061F">
        <w:rPr>
          <w:rFonts w:eastAsiaTheme="minorHAnsi"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 xml:space="preserve">Regulamentul-cadru privind structura organizatorică, </w:t>
      </w:r>
      <w:proofErr w:type="spellStart"/>
      <w:r w:rsidRPr="00E176D2">
        <w:rPr>
          <w:szCs w:val="28"/>
          <w:lang w:val="ro-RO"/>
        </w:rPr>
        <w:t>atribuţiile</w:t>
      </w:r>
      <w:proofErr w:type="spellEnd"/>
      <w:r w:rsidRPr="00E176D2">
        <w:rPr>
          <w:szCs w:val="28"/>
          <w:lang w:val="ro-RO"/>
        </w:rPr>
        <w:t xml:space="preserve">, </w:t>
      </w:r>
      <w:proofErr w:type="spellStart"/>
      <w:r w:rsidRPr="00E176D2">
        <w:rPr>
          <w:szCs w:val="28"/>
          <w:lang w:val="ro-RO"/>
        </w:rPr>
        <w:t>funcţionarea</w:t>
      </w:r>
      <w:proofErr w:type="spellEnd"/>
      <w:r w:rsidR="00797922">
        <w:rPr>
          <w:szCs w:val="28"/>
          <w:lang w:val="ro-RO"/>
        </w:rPr>
        <w:t xml:space="preserve"> </w:t>
      </w:r>
      <w:proofErr w:type="spellStart"/>
      <w:r w:rsidRPr="00E176D2">
        <w:rPr>
          <w:szCs w:val="28"/>
          <w:lang w:val="ro-RO"/>
        </w:rPr>
        <w:t>şi</w:t>
      </w:r>
      <w:proofErr w:type="spellEnd"/>
      <w:r w:rsidRPr="00E176D2">
        <w:rPr>
          <w:szCs w:val="28"/>
          <w:lang w:val="ro-RO"/>
        </w:rPr>
        <w:t xml:space="preserve"> dotarea comitetelor </w:t>
      </w:r>
      <w:proofErr w:type="spellStart"/>
      <w:r w:rsidRPr="00E176D2">
        <w:rPr>
          <w:szCs w:val="28"/>
          <w:lang w:val="ro-RO"/>
        </w:rPr>
        <w:t>şi</w:t>
      </w:r>
      <w:proofErr w:type="spellEnd"/>
      <w:r w:rsidRPr="00E176D2">
        <w:rPr>
          <w:szCs w:val="28"/>
          <w:lang w:val="ro-RO"/>
        </w:rPr>
        <w:t xml:space="preserve"> centrelor operative pentru </w:t>
      </w:r>
      <w:proofErr w:type="spellStart"/>
      <w:r w:rsidRPr="00E176D2">
        <w:rPr>
          <w:szCs w:val="28"/>
          <w:lang w:val="ro-RO"/>
        </w:rPr>
        <w:t>situaţii</w:t>
      </w:r>
      <w:proofErr w:type="spellEnd"/>
      <w:r w:rsidRPr="00E176D2">
        <w:rPr>
          <w:szCs w:val="28"/>
          <w:lang w:val="ro-RO"/>
        </w:rPr>
        <w:t xml:space="preserve"> de </w:t>
      </w:r>
      <w:proofErr w:type="spellStart"/>
      <w:r w:rsidRPr="00E176D2">
        <w:rPr>
          <w:szCs w:val="28"/>
          <w:lang w:val="ro-RO"/>
        </w:rPr>
        <w:t>urgenţă</w:t>
      </w:r>
      <w:proofErr w:type="spellEnd"/>
      <w:r w:rsidRPr="00E176D2">
        <w:rPr>
          <w:szCs w:val="28"/>
          <w:lang w:val="ro-RO"/>
        </w:rPr>
        <w:t>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 xml:space="preserve">Comitetul </w:t>
      </w:r>
      <w:proofErr w:type="spellStart"/>
      <w:r>
        <w:rPr>
          <w:rFonts w:eastAsia="Times New Roman"/>
          <w:b/>
          <w:lang w:val="ro-RO"/>
        </w:rPr>
        <w:t>Judeţean</w:t>
      </w:r>
      <w:proofErr w:type="spellEnd"/>
      <w:r>
        <w:rPr>
          <w:rFonts w:eastAsia="Times New Roman"/>
          <w:b/>
          <w:lang w:val="ro-RO"/>
        </w:rPr>
        <w:t xml:space="preserve"> pentru </w:t>
      </w:r>
      <w:proofErr w:type="spellStart"/>
      <w:r>
        <w:rPr>
          <w:rFonts w:eastAsia="Times New Roman"/>
          <w:b/>
          <w:lang w:val="ro-RO"/>
        </w:rPr>
        <w:t>Situaţii</w:t>
      </w:r>
      <w:proofErr w:type="spellEnd"/>
      <w:r>
        <w:rPr>
          <w:rFonts w:eastAsia="Times New Roman"/>
          <w:b/>
          <w:lang w:val="ro-RO"/>
        </w:rPr>
        <w:t xml:space="preserve"> de </w:t>
      </w:r>
      <w:proofErr w:type="spellStart"/>
      <w:r>
        <w:rPr>
          <w:rFonts w:eastAsia="Times New Roman"/>
          <w:b/>
          <w:lang w:val="ro-RO"/>
        </w:rPr>
        <w:t>Urgenţă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proofErr w:type="spellStart"/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</w:t>
      </w:r>
      <w:proofErr w:type="spellEnd"/>
      <w:r w:rsidR="00C55709" w:rsidRPr="00E176D2">
        <w:rPr>
          <w:rFonts w:eastAsia="Times New Roman"/>
          <w:b/>
          <w:lang w:val="ro-RO"/>
        </w:rPr>
        <w:t xml:space="preserve">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3F6DAE" w:rsidRPr="00BF5302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>
        <w:rPr>
          <w:rFonts w:eastAsiaTheme="minorHAnsi"/>
          <w:b/>
          <w:szCs w:val="28"/>
        </w:rPr>
        <w:t>Art.1</w:t>
      </w:r>
      <w:r w:rsidR="00CE5D5C">
        <w:rPr>
          <w:rFonts w:eastAsiaTheme="minorHAnsi"/>
          <w:b/>
          <w:szCs w:val="28"/>
        </w:rPr>
        <w:t>.</w:t>
      </w:r>
      <w:r w:rsidR="00BF5302">
        <w:rPr>
          <w:rFonts w:eastAsiaTheme="minorHAnsi"/>
          <w:b/>
          <w:szCs w:val="28"/>
        </w:rPr>
        <w:t xml:space="preserve"> </w:t>
      </w:r>
      <w:r w:rsidR="003F6DAE" w:rsidRPr="0062386E">
        <w:rPr>
          <w:rFonts w:eastAsiaTheme="minorHAnsi"/>
          <w:szCs w:val="28"/>
          <w:lang w:val="ro-RO"/>
        </w:rPr>
        <w:t xml:space="preserve">Se constată </w:t>
      </w:r>
      <w:proofErr w:type="spellStart"/>
      <w:r w:rsidR="003F6DAE" w:rsidRPr="0062386E">
        <w:rPr>
          <w:rFonts w:eastAsiaTheme="minorHAnsi"/>
          <w:szCs w:val="28"/>
          <w:lang w:val="ro-RO"/>
        </w:rPr>
        <w:t>depă</w:t>
      </w:r>
      <w:r w:rsidR="003F6DAE">
        <w:rPr>
          <w:rFonts w:eastAsiaTheme="minorHAnsi"/>
          <w:szCs w:val="28"/>
          <w:lang w:val="ro-RO"/>
        </w:rPr>
        <w:t>şirea</w:t>
      </w:r>
      <w:proofErr w:type="spellEnd"/>
      <w:r w:rsidR="003F6DAE">
        <w:rPr>
          <w:rFonts w:eastAsiaTheme="minorHAnsi"/>
          <w:szCs w:val="28"/>
          <w:lang w:val="ro-RO"/>
        </w:rPr>
        <w:t xml:space="preserve"> limitei de 1,5</w:t>
      </w:r>
      <w:r w:rsidR="003F6DAE">
        <w:rPr>
          <w:rFonts w:eastAsiaTheme="minorHAnsi"/>
          <w:szCs w:val="28"/>
        </w:rPr>
        <w:t xml:space="preserve">/1.000 locuitori </w:t>
      </w:r>
      <w:r w:rsidR="003F6DAE">
        <w:rPr>
          <w:rFonts w:eastAsiaTheme="minorHAnsi"/>
          <w:szCs w:val="28"/>
          <w:lang w:val="ro-RO"/>
        </w:rPr>
        <w:t xml:space="preserve">a ratei de </w:t>
      </w:r>
      <w:proofErr w:type="spellStart"/>
      <w:r w:rsidR="003F6DAE">
        <w:rPr>
          <w:rFonts w:eastAsiaTheme="minorHAnsi"/>
          <w:szCs w:val="28"/>
          <w:lang w:val="ro-RO"/>
        </w:rPr>
        <w:t>incidenţă</w:t>
      </w:r>
      <w:proofErr w:type="spellEnd"/>
      <w:r w:rsidR="003F6DAE">
        <w:rPr>
          <w:rFonts w:eastAsiaTheme="minorHAnsi"/>
          <w:szCs w:val="28"/>
          <w:lang w:val="ro-RO"/>
        </w:rPr>
        <w:t xml:space="preserve"> cumulată a cazurilor pe ultimele 14 zile în următoarele </w:t>
      </w:r>
      <w:proofErr w:type="spellStart"/>
      <w:r w:rsidR="003F6DAE">
        <w:rPr>
          <w:rFonts w:eastAsiaTheme="minorHAnsi"/>
          <w:szCs w:val="28"/>
          <w:lang w:val="ro-RO"/>
        </w:rPr>
        <w:t>unităţi</w:t>
      </w:r>
      <w:proofErr w:type="spellEnd"/>
      <w:r w:rsidR="003F6DAE">
        <w:rPr>
          <w:rFonts w:eastAsiaTheme="minorHAnsi"/>
          <w:szCs w:val="28"/>
          <w:lang w:val="ro-RO"/>
        </w:rPr>
        <w:t xml:space="preserve"> administrativ</w:t>
      </w:r>
      <w:r w:rsidR="003F6DAE">
        <w:rPr>
          <w:rFonts w:eastAsiaTheme="minorHAnsi"/>
          <w:szCs w:val="28"/>
        </w:rPr>
        <w:t>-</w:t>
      </w:r>
      <w:r w:rsidR="003F6DAE">
        <w:rPr>
          <w:rFonts w:eastAsiaTheme="minorHAnsi"/>
          <w:szCs w:val="28"/>
          <w:lang w:val="ro-RO"/>
        </w:rPr>
        <w:t>teritoriale</w:t>
      </w:r>
      <w:r w:rsidR="003F6DAE">
        <w:rPr>
          <w:rFonts w:eastAsiaTheme="minorHAnsi"/>
          <w:szCs w:val="28"/>
        </w:rPr>
        <w:t xml:space="preserve">: </w:t>
      </w:r>
      <w:r w:rsidR="00BF5302">
        <w:rPr>
          <w:rFonts w:eastAsiaTheme="minorHAnsi"/>
          <w:b/>
          <w:szCs w:val="28"/>
        </w:rPr>
        <w:t>Malu cu Flori</w:t>
      </w:r>
      <w:r w:rsidR="0065701D">
        <w:rPr>
          <w:rFonts w:eastAsiaTheme="minorHAnsi"/>
          <w:b/>
          <w:szCs w:val="28"/>
        </w:rPr>
        <w:t xml:space="preserve"> </w:t>
      </w:r>
      <w:r w:rsidR="003F6DAE" w:rsidRPr="00CE5D5C">
        <w:rPr>
          <w:rFonts w:eastAsiaTheme="minorHAnsi"/>
          <w:b/>
          <w:szCs w:val="28"/>
        </w:rPr>
        <w:t>(</w:t>
      </w:r>
      <w:r w:rsidR="00BF5302">
        <w:rPr>
          <w:rFonts w:eastAsiaTheme="minorHAnsi"/>
          <w:b/>
          <w:szCs w:val="28"/>
        </w:rPr>
        <w:t>1,82</w:t>
      </w:r>
      <w:r w:rsidR="003F6DAE">
        <w:rPr>
          <w:rFonts w:eastAsiaTheme="minorHAnsi"/>
          <w:b/>
          <w:szCs w:val="28"/>
        </w:rPr>
        <w:t xml:space="preserve"> cazuri/1000</w:t>
      </w:r>
      <w:r w:rsidR="003F6DAE" w:rsidRPr="00CE5D5C">
        <w:rPr>
          <w:rFonts w:eastAsiaTheme="minorHAnsi"/>
          <w:b/>
          <w:szCs w:val="28"/>
        </w:rPr>
        <w:t xml:space="preserve"> locuitori), </w:t>
      </w:r>
      <w:r w:rsidR="00BF5302">
        <w:rPr>
          <w:rFonts w:eastAsiaTheme="minorHAnsi"/>
          <w:b/>
          <w:szCs w:val="28"/>
        </w:rPr>
        <w:t>Vișina (1,77</w:t>
      </w:r>
      <w:r w:rsidR="0065701D">
        <w:rPr>
          <w:rFonts w:eastAsiaTheme="minorHAnsi"/>
          <w:b/>
          <w:szCs w:val="28"/>
        </w:rPr>
        <w:t xml:space="preserve"> </w:t>
      </w:r>
      <w:r w:rsidR="003F6DAE">
        <w:rPr>
          <w:rFonts w:eastAsiaTheme="minorHAnsi"/>
          <w:b/>
          <w:szCs w:val="28"/>
        </w:rPr>
        <w:t xml:space="preserve">cazuri/1000 </w:t>
      </w:r>
      <w:r w:rsidR="003F6DAE" w:rsidRPr="00CE5D5C">
        <w:rPr>
          <w:rFonts w:eastAsiaTheme="minorHAnsi"/>
          <w:b/>
          <w:szCs w:val="28"/>
        </w:rPr>
        <w:t>locuitori),</w:t>
      </w:r>
      <w:r w:rsidR="0065701D">
        <w:rPr>
          <w:rFonts w:eastAsiaTheme="minorHAnsi"/>
          <w:b/>
          <w:szCs w:val="28"/>
        </w:rPr>
        <w:t xml:space="preserve"> </w:t>
      </w:r>
      <w:r w:rsidR="00BF5302">
        <w:rPr>
          <w:rFonts w:eastAsiaTheme="minorHAnsi"/>
          <w:b/>
          <w:szCs w:val="28"/>
        </w:rPr>
        <w:t>Cobia (1,69</w:t>
      </w:r>
      <w:r w:rsidR="0065701D">
        <w:rPr>
          <w:rFonts w:eastAsiaTheme="minorHAnsi"/>
          <w:b/>
          <w:szCs w:val="28"/>
        </w:rPr>
        <w:t xml:space="preserve"> </w:t>
      </w:r>
      <w:r w:rsidR="003F6DAE">
        <w:rPr>
          <w:rFonts w:eastAsiaTheme="minorHAnsi"/>
          <w:b/>
          <w:szCs w:val="28"/>
        </w:rPr>
        <w:t>cazuri/1000 locuitori)</w:t>
      </w:r>
      <w:r w:rsidR="00BF5302">
        <w:rPr>
          <w:rFonts w:eastAsiaTheme="minorHAnsi"/>
          <w:b/>
          <w:szCs w:val="28"/>
        </w:rPr>
        <w:t xml:space="preserve">, Răcari (1,55 cazuri/1000 </w:t>
      </w:r>
      <w:r w:rsidR="00BF5302" w:rsidRPr="00CE5D5C">
        <w:rPr>
          <w:rFonts w:eastAsiaTheme="minorHAnsi"/>
          <w:b/>
          <w:szCs w:val="28"/>
        </w:rPr>
        <w:t>locuitori</w:t>
      </w:r>
      <w:r w:rsidR="00BF5302">
        <w:rPr>
          <w:rFonts w:eastAsiaTheme="minorHAnsi"/>
          <w:b/>
          <w:szCs w:val="28"/>
        </w:rPr>
        <w:t>)</w:t>
      </w:r>
      <w:r w:rsidR="003F6DAE">
        <w:rPr>
          <w:rFonts w:eastAsiaTheme="minorHAnsi"/>
          <w:b/>
          <w:szCs w:val="28"/>
        </w:rPr>
        <w:t>;</w:t>
      </w:r>
    </w:p>
    <w:p w:rsidR="003F6DAE" w:rsidRDefault="00BF5302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</w:rPr>
        <w:t>Art.2</w:t>
      </w:r>
      <w:r w:rsidR="003F6DAE">
        <w:rPr>
          <w:rFonts w:eastAsiaTheme="minorHAnsi"/>
          <w:b/>
          <w:szCs w:val="28"/>
        </w:rPr>
        <w:t>. Unitățile administrativ</w:t>
      </w:r>
      <w:r w:rsidR="00575FAD">
        <w:rPr>
          <w:rFonts w:eastAsiaTheme="minorHAnsi"/>
          <w:b/>
          <w:szCs w:val="28"/>
        </w:rPr>
        <w:t xml:space="preserve">-teritoriale prevăzute la art. </w:t>
      </w:r>
      <w:r>
        <w:rPr>
          <w:rFonts w:eastAsiaTheme="minorHAnsi"/>
          <w:b/>
          <w:szCs w:val="28"/>
        </w:rPr>
        <w:t>1</w:t>
      </w:r>
      <w:r w:rsidR="003F6DAE">
        <w:rPr>
          <w:rFonts w:eastAsiaTheme="minorHAnsi"/>
          <w:b/>
          <w:szCs w:val="28"/>
        </w:rPr>
        <w:t xml:space="preserve"> vor aplica m</w:t>
      </w:r>
      <w:r w:rsidR="003F6DAE" w:rsidRPr="00431841">
        <w:rPr>
          <w:rFonts w:eastAsiaTheme="minorHAnsi"/>
          <w:b/>
          <w:szCs w:val="28"/>
        </w:rPr>
        <w:t>ăsurile</w:t>
      </w:r>
      <w:r w:rsidR="003F6DAE">
        <w:rPr>
          <w:rFonts w:eastAsiaTheme="minorHAnsi"/>
          <w:b/>
          <w:szCs w:val="28"/>
        </w:rPr>
        <w:t xml:space="preserve"> specifice intervalului de referinţă al incidenţei ratei cumulate a cazurilor pe ultimele 14 zile </w:t>
      </w:r>
      <w:r w:rsidR="003F6DAE" w:rsidRPr="00431841">
        <w:rPr>
          <w:rFonts w:eastAsiaTheme="minorHAnsi"/>
          <w:b/>
          <w:szCs w:val="28"/>
        </w:rPr>
        <w:t>prevăzute de H.G. nr. 856/14.10.2020</w:t>
      </w:r>
      <w:r w:rsidR="003F6DAE">
        <w:rPr>
          <w:rFonts w:eastAsiaTheme="minorHAnsi"/>
          <w:szCs w:val="28"/>
          <w:lang w:val="ro-RO"/>
        </w:rPr>
        <w:t>, astfel:</w:t>
      </w:r>
    </w:p>
    <w:p w:rsidR="00575FAD" w:rsidRPr="00507F89" w:rsidRDefault="003F6DAE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 w:rsidR="00575FAD">
        <w:rPr>
          <w:szCs w:val="28"/>
        </w:rPr>
        <w:t xml:space="preserve">este permisă </w:t>
      </w:r>
      <w:r w:rsidR="00575FAD" w:rsidRPr="00507F89">
        <w:rPr>
          <w:szCs w:val="28"/>
        </w:rPr>
        <w:t>organizarea şi desfăşurarea activităţii în cadrul cinematografelor, instituţiilor de specta</w:t>
      </w:r>
      <w:r w:rsidR="00575FAD">
        <w:rPr>
          <w:szCs w:val="28"/>
        </w:rPr>
        <w:t>cole şi/sau concerte</w:t>
      </w:r>
      <w:r w:rsidR="00575FAD" w:rsidRPr="00507F89">
        <w:rPr>
          <w:szCs w:val="28"/>
        </w:rPr>
        <w:t>, cu participarea publicului până la 30% din capacitatea maximă a spaţiului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 xml:space="preserve">activitatea cu publicul a operatorilor economici care desfăşoară activităţi de preparare, comercializare şi consum al produselor alimentare şi/sau băuturilor </w:t>
      </w:r>
      <w:r w:rsidRPr="00507F89">
        <w:rPr>
          <w:szCs w:val="28"/>
        </w:rPr>
        <w:lastRenderedPageBreak/>
        <w:t>alcoolice şi nealcoolice, de tipul restaurantelor şi cafenelelor, în int</w:t>
      </w:r>
      <w:r>
        <w:rPr>
          <w:szCs w:val="28"/>
        </w:rPr>
        <w:t>eriorul clădirilor,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</w:t>
      </w:r>
    </w:p>
    <w:p w:rsidR="00575FAD" w:rsidRPr="00507F89" w:rsidRDefault="00575FAD" w:rsidP="00575FAD">
      <w:pPr>
        <w:jc w:val="both"/>
        <w:rPr>
          <w:szCs w:val="28"/>
        </w:rPr>
      </w:pPr>
      <w:r w:rsidRPr="00507F89">
        <w:rPr>
          <w:szCs w:val="28"/>
        </w:rPr>
        <w:t xml:space="preserve">- 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restaurantelor şi a cafenelelor din interiorul hotelurilor, pensiunilor sau altor unităţi de caz</w:t>
      </w:r>
      <w:r>
        <w:rPr>
          <w:szCs w:val="28"/>
        </w:rPr>
        <w:t>are,</w:t>
      </w:r>
      <w:r w:rsidRPr="00507F89">
        <w:rPr>
          <w:szCs w:val="28"/>
        </w:rPr>
        <w:t xml:space="preserve"> fără a depăşi 30% din capacitatea maximă a sp</w:t>
      </w:r>
      <w:r w:rsidR="00A25BB7">
        <w:rPr>
          <w:szCs w:val="28"/>
        </w:rPr>
        <w:t>aţiului şi în intervalul orar 6.00 – 23.</w:t>
      </w:r>
      <w:r w:rsidRPr="00507F89">
        <w:rPr>
          <w:szCs w:val="28"/>
        </w:rPr>
        <w:t>00; se permite prepararea hranei şi comercializarea produselor alimentare şi băuturilor alcoolice şi nealcoolice care nu se</w:t>
      </w:r>
      <w:r>
        <w:rPr>
          <w:szCs w:val="28"/>
        </w:rPr>
        <w:t xml:space="preserve"> consumă în spaţiile respective</w:t>
      </w:r>
    </w:p>
    <w:p w:rsidR="00575FAD" w:rsidRDefault="00575FAD" w:rsidP="00575FAD">
      <w:pPr>
        <w:jc w:val="both"/>
        <w:rPr>
          <w:szCs w:val="28"/>
        </w:rPr>
      </w:pPr>
      <w:r w:rsidRPr="00507F89">
        <w:rPr>
          <w:szCs w:val="28"/>
        </w:rPr>
        <w:t>-</w:t>
      </w:r>
      <w:r>
        <w:rPr>
          <w:szCs w:val="28"/>
        </w:rPr>
        <w:t xml:space="preserve">este permisă </w:t>
      </w:r>
      <w:r w:rsidRPr="00507F89">
        <w:rPr>
          <w:szCs w:val="28"/>
        </w:rPr>
        <w:t>activitatea cu publicul a operatorilor economici licenţiaţi în domeniul jocurilor de no</w:t>
      </w:r>
      <w:r>
        <w:rPr>
          <w:szCs w:val="28"/>
        </w:rPr>
        <w:t xml:space="preserve">roc, </w:t>
      </w:r>
      <w:r w:rsidRPr="00507F89">
        <w:rPr>
          <w:szCs w:val="28"/>
        </w:rPr>
        <w:t xml:space="preserve"> fără a depăşi 30% din capacitatea maximă a spaţiului</w:t>
      </w:r>
    </w:p>
    <w:p w:rsid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este obligatorie </w:t>
      </w:r>
      <w:r w:rsidRPr="00507F89">
        <w:rPr>
          <w:szCs w:val="28"/>
        </w:rPr>
        <w:t>purtarea măştii de protecţie, astfel încât să acopere</w:t>
      </w:r>
      <w:r>
        <w:rPr>
          <w:szCs w:val="28"/>
        </w:rPr>
        <w:t xml:space="preserve"> nasul şi gura,</w:t>
      </w:r>
      <w:r w:rsidRPr="00507F89">
        <w:rPr>
          <w:szCs w:val="28"/>
        </w:rPr>
        <w:t xml:space="preserve"> pentru toate persoanele care au împlinit vârsta de 5 ani, prezente în spaţiile publice deschise, cum ar fi pieţele, târgurile, zonele d</w:t>
      </w:r>
      <w:r w:rsidR="00E9003E">
        <w:rPr>
          <w:szCs w:val="28"/>
        </w:rPr>
        <w:t xml:space="preserve">e aşteptare (staţii de autobus </w:t>
      </w:r>
      <w:r w:rsidR="00A25BB7">
        <w:rPr>
          <w:szCs w:val="28"/>
        </w:rPr>
        <w:t>şi alte</w:t>
      </w:r>
      <w:r w:rsidRPr="00507F89">
        <w:rPr>
          <w:szCs w:val="28"/>
        </w:rPr>
        <w:t xml:space="preserve"> asemenea), zonele în care se desfăşoară serbări publice sau pelerinaje, exteriorul obiectivelor turistice, zonele pietonale comerciale şi în proximitatea instituţiilor de învăţământ până la o distanţă de 50 m de intrarea în perimetrul şcolii</w:t>
      </w:r>
    </w:p>
    <w:p w:rsidR="003F6DAE" w:rsidRPr="00575FAD" w:rsidRDefault="00575FAD" w:rsidP="00575FAD">
      <w:pPr>
        <w:jc w:val="both"/>
        <w:rPr>
          <w:szCs w:val="28"/>
        </w:rPr>
      </w:pPr>
      <w:r>
        <w:rPr>
          <w:szCs w:val="28"/>
        </w:rPr>
        <w:t xml:space="preserve">- sunt interzise </w:t>
      </w:r>
      <w:r w:rsidRPr="00507F89">
        <w:rPr>
          <w:szCs w:val="28"/>
        </w:rPr>
        <w:t>organizarea şi desfăşurarea spectacolelor de tipul drive-in, precum și organizarea şi desfăşurarea în aer liber a spectacolelor, concertelor, festivalurilor publice şi private sau a</w:t>
      </w:r>
      <w:r>
        <w:rPr>
          <w:szCs w:val="28"/>
        </w:rPr>
        <w:t xml:space="preserve"> altor evenimente culturale </w:t>
      </w:r>
      <w:r w:rsidR="00717C70">
        <w:rPr>
          <w:szCs w:val="28"/>
        </w:rPr>
        <w:t>;</w:t>
      </w:r>
    </w:p>
    <w:p w:rsidR="00230183" w:rsidRDefault="00BF5302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Art.3</w:t>
      </w:r>
      <w:r w:rsidR="003F6DAE">
        <w:rPr>
          <w:rFonts w:eastAsiaTheme="minorHAnsi"/>
          <w:b/>
          <w:szCs w:val="28"/>
          <w:lang w:val="ro-RO"/>
        </w:rPr>
        <w:t>. Măsur</w:t>
      </w:r>
      <w:r w:rsidR="00575FAD">
        <w:rPr>
          <w:rFonts w:eastAsiaTheme="minorHAnsi"/>
          <w:b/>
          <w:szCs w:val="28"/>
          <w:lang w:val="ro-RO"/>
        </w:rPr>
        <w:t>ile specifice prevăzute la art. 2</w:t>
      </w:r>
      <w:r w:rsidR="003F6DAE">
        <w:rPr>
          <w:rFonts w:eastAsiaTheme="minorHAnsi"/>
          <w:b/>
          <w:szCs w:val="28"/>
          <w:lang w:val="ro-RO"/>
        </w:rPr>
        <w:t xml:space="preserve"> s</w:t>
      </w:r>
      <w:r w:rsidR="00230183" w:rsidRPr="001E1EE5">
        <w:rPr>
          <w:rFonts w:eastAsiaTheme="minorHAnsi"/>
          <w:b/>
          <w:szCs w:val="28"/>
          <w:lang w:val="ro-RO"/>
        </w:rPr>
        <w:t>e aplică pentru o perioadă de 14 zile,</w:t>
      </w:r>
      <w:r w:rsidR="00F411C2">
        <w:rPr>
          <w:rFonts w:eastAsiaTheme="minorHAnsi"/>
          <w:b/>
          <w:szCs w:val="28"/>
          <w:lang w:val="ro-RO"/>
        </w:rPr>
        <w:t xml:space="preserve"> </w:t>
      </w:r>
      <w:r w:rsidR="006D00FD">
        <w:rPr>
          <w:rFonts w:eastAsiaTheme="minorHAnsi"/>
          <w:b/>
          <w:szCs w:val="28"/>
          <w:lang w:val="ro-RO"/>
        </w:rPr>
        <w:t>începând cu data de 2</w:t>
      </w:r>
      <w:r>
        <w:rPr>
          <w:rFonts w:eastAsiaTheme="minorHAnsi"/>
          <w:b/>
          <w:szCs w:val="28"/>
          <w:lang w:val="ro-RO"/>
        </w:rPr>
        <w:t>8</w:t>
      </w:r>
      <w:r w:rsidR="003F6DAE">
        <w:rPr>
          <w:rFonts w:eastAsiaTheme="minorHAnsi"/>
          <w:b/>
          <w:szCs w:val="28"/>
          <w:lang w:val="ro-RO"/>
        </w:rPr>
        <w:t xml:space="preserve"> octombrie </w:t>
      </w:r>
      <w:proofErr w:type="spellStart"/>
      <w:r w:rsidR="003F6DAE">
        <w:rPr>
          <w:rFonts w:eastAsiaTheme="minorHAnsi"/>
          <w:b/>
          <w:szCs w:val="28"/>
          <w:lang w:val="ro-RO"/>
        </w:rPr>
        <w:t>a.c</w:t>
      </w:r>
      <w:proofErr w:type="spellEnd"/>
      <w:r w:rsidR="003F6DAE">
        <w:rPr>
          <w:rFonts w:eastAsiaTheme="minorHAnsi"/>
          <w:b/>
          <w:szCs w:val="28"/>
          <w:lang w:val="ro-RO"/>
        </w:rPr>
        <w:t xml:space="preserve">, </w:t>
      </w:r>
      <w:r w:rsidR="00B0255A">
        <w:rPr>
          <w:rFonts w:eastAsiaTheme="minorHAnsi"/>
          <w:b/>
          <w:szCs w:val="28"/>
          <w:lang w:val="ro-RO"/>
        </w:rPr>
        <w:t xml:space="preserve">până la data de </w:t>
      </w:r>
      <w:r>
        <w:rPr>
          <w:rFonts w:eastAsiaTheme="minorHAnsi"/>
          <w:b/>
          <w:szCs w:val="28"/>
          <w:lang w:val="ro-RO"/>
        </w:rPr>
        <w:t>10</w:t>
      </w:r>
      <w:r w:rsidR="006D00FD">
        <w:rPr>
          <w:rFonts w:eastAsiaTheme="minorHAnsi"/>
          <w:b/>
          <w:szCs w:val="28"/>
          <w:lang w:val="ro-RO"/>
        </w:rPr>
        <w:t xml:space="preserve"> </w:t>
      </w:r>
      <w:r w:rsidR="00990A0C">
        <w:rPr>
          <w:rFonts w:eastAsiaTheme="minorHAnsi"/>
          <w:b/>
          <w:szCs w:val="28"/>
          <w:lang w:val="ro-RO"/>
        </w:rPr>
        <w:t>noiem</w:t>
      </w:r>
      <w:r w:rsidR="00AF5751">
        <w:rPr>
          <w:rFonts w:eastAsiaTheme="minorHAnsi"/>
          <w:b/>
          <w:szCs w:val="28"/>
          <w:lang w:val="ro-RO"/>
        </w:rPr>
        <w:t xml:space="preserve">brie </w:t>
      </w:r>
      <w:proofErr w:type="spellStart"/>
      <w:r w:rsidR="00AF5751">
        <w:rPr>
          <w:rFonts w:eastAsiaTheme="minorHAnsi"/>
          <w:b/>
          <w:szCs w:val="28"/>
          <w:lang w:val="ro-RO"/>
        </w:rPr>
        <w:t>a.c</w:t>
      </w:r>
      <w:proofErr w:type="spellEnd"/>
      <w:r w:rsidR="00230183" w:rsidRPr="001E1EE5">
        <w:rPr>
          <w:rFonts w:eastAsiaTheme="minorHAnsi"/>
          <w:b/>
          <w:szCs w:val="28"/>
          <w:lang w:val="ro-RO"/>
        </w:rPr>
        <w:t>, inclusiv,</w:t>
      </w:r>
      <w:r w:rsidR="00230183">
        <w:rPr>
          <w:rFonts w:eastAsiaTheme="minorHAnsi"/>
          <w:szCs w:val="28"/>
          <w:lang w:val="ro-RO"/>
        </w:rPr>
        <w:t xml:space="preserve"> în toate </w:t>
      </w:r>
      <w:proofErr w:type="spellStart"/>
      <w:r w:rsidR="00230183">
        <w:rPr>
          <w:rFonts w:eastAsiaTheme="minorHAnsi"/>
          <w:szCs w:val="28"/>
          <w:lang w:val="ro-RO"/>
        </w:rPr>
        <w:t>unităţile</w:t>
      </w:r>
      <w:proofErr w:type="spellEnd"/>
      <w:r w:rsidR="00230183">
        <w:rPr>
          <w:rFonts w:eastAsiaTheme="minorHAnsi"/>
          <w:szCs w:val="28"/>
          <w:lang w:val="ro-RO"/>
        </w:rPr>
        <w:t xml:space="preserve"> administrativ</w:t>
      </w:r>
      <w:r w:rsidR="00230183">
        <w:rPr>
          <w:rFonts w:eastAsiaTheme="minorHAnsi"/>
          <w:szCs w:val="28"/>
        </w:rPr>
        <w:t>-teritoriale</w:t>
      </w:r>
      <w:r w:rsidR="00797922">
        <w:rPr>
          <w:rFonts w:eastAsiaTheme="minorHAnsi"/>
          <w:szCs w:val="28"/>
        </w:rPr>
        <w:t xml:space="preserve"> </w:t>
      </w:r>
      <w:r w:rsidR="00230183">
        <w:rPr>
          <w:rFonts w:eastAsiaTheme="minorHAnsi"/>
          <w:szCs w:val="28"/>
        </w:rPr>
        <w:t>prev</w:t>
      </w:r>
      <w:proofErr w:type="spellStart"/>
      <w:r w:rsidR="00C958D4">
        <w:rPr>
          <w:rFonts w:eastAsiaTheme="minorHAnsi"/>
          <w:szCs w:val="28"/>
          <w:lang w:val="ro-RO"/>
        </w:rPr>
        <w:t>ăzute</w:t>
      </w:r>
      <w:proofErr w:type="spellEnd"/>
      <w:r w:rsidR="00C958D4">
        <w:rPr>
          <w:rFonts w:eastAsiaTheme="minorHAnsi"/>
          <w:szCs w:val="28"/>
          <w:lang w:val="ro-RO"/>
        </w:rPr>
        <w:t xml:space="preserve"> la art. 1</w:t>
      </w:r>
      <w:r w:rsidR="003F6DAE">
        <w:rPr>
          <w:rFonts w:eastAsiaTheme="minorHAnsi"/>
          <w:szCs w:val="28"/>
          <w:lang w:val="ro-RO"/>
        </w:rPr>
        <w:t>;</w:t>
      </w:r>
    </w:p>
    <w:p w:rsidR="003F6DAE" w:rsidRDefault="00BF5302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Art.4.</w:t>
      </w:r>
      <w:r w:rsidR="003A2564">
        <w:rPr>
          <w:rFonts w:eastAsiaTheme="minorHAnsi"/>
          <w:b/>
          <w:szCs w:val="28"/>
          <w:lang w:val="ro-RO"/>
        </w:rPr>
        <w:t xml:space="preserve"> </w:t>
      </w:r>
      <w:r>
        <w:rPr>
          <w:rFonts w:eastAsiaTheme="minorHAnsi"/>
          <w:szCs w:val="28"/>
          <w:lang w:val="ro-RO"/>
        </w:rPr>
        <w:t xml:space="preserve">Potrivit Ordinului Comun </w:t>
      </w:r>
      <w:r>
        <w:rPr>
          <w:rFonts w:eastAsia="Times New Roman"/>
          <w:szCs w:val="28"/>
          <w:lang w:val="ro-RO"/>
        </w:rPr>
        <w:t>al Ministerului Educa</w:t>
      </w:r>
      <w:r w:rsidRPr="00575FAD">
        <w:rPr>
          <w:rFonts w:eastAsia="Times New Roman"/>
          <w:szCs w:val="28"/>
          <w:lang w:val="ro-RO"/>
        </w:rPr>
        <w:t>ț</w:t>
      </w:r>
      <w:r>
        <w:rPr>
          <w:rFonts w:eastAsia="Times New Roman"/>
          <w:szCs w:val="28"/>
          <w:lang w:val="ro-RO"/>
        </w:rPr>
        <w:t xml:space="preserve">iei </w:t>
      </w:r>
      <w:proofErr w:type="spellStart"/>
      <w:r>
        <w:rPr>
          <w:rFonts w:eastAsia="Times New Roman"/>
          <w:szCs w:val="28"/>
          <w:lang w:val="ro-RO"/>
        </w:rPr>
        <w:t>şi</w:t>
      </w:r>
      <w:proofErr w:type="spellEnd"/>
      <w:r>
        <w:rPr>
          <w:rFonts w:eastAsia="Times New Roman"/>
          <w:szCs w:val="28"/>
          <w:lang w:val="ro-RO"/>
        </w:rPr>
        <w:t xml:space="preserve"> Cercetării </w:t>
      </w:r>
      <w:proofErr w:type="spellStart"/>
      <w:r>
        <w:rPr>
          <w:rFonts w:eastAsia="Times New Roman"/>
          <w:szCs w:val="28"/>
          <w:lang w:val="ro-RO"/>
        </w:rPr>
        <w:t>şi</w:t>
      </w:r>
      <w:proofErr w:type="spellEnd"/>
      <w:r>
        <w:rPr>
          <w:rFonts w:eastAsia="Times New Roman"/>
          <w:szCs w:val="28"/>
          <w:lang w:val="ro-RO"/>
        </w:rPr>
        <w:t xml:space="preserve"> al Ministerului </w:t>
      </w:r>
      <w:proofErr w:type="spellStart"/>
      <w:r>
        <w:rPr>
          <w:rFonts w:eastAsia="Times New Roman"/>
          <w:szCs w:val="28"/>
          <w:lang w:val="ro-RO"/>
        </w:rPr>
        <w:t>Sănătăţii</w:t>
      </w:r>
      <w:proofErr w:type="spellEnd"/>
      <w:r>
        <w:rPr>
          <w:rFonts w:eastAsia="Times New Roman"/>
          <w:szCs w:val="28"/>
          <w:lang w:val="ro-RO"/>
        </w:rPr>
        <w:t xml:space="preserve"> nr. 5.487/1.494 din 31 august 2020, următoarele </w:t>
      </w:r>
      <w:r w:rsidRPr="00BF5302">
        <w:rPr>
          <w:rFonts w:eastAsia="Times New Roman"/>
          <w:b/>
          <w:szCs w:val="28"/>
          <w:lang w:val="ro-RO"/>
        </w:rPr>
        <w:t>u</w:t>
      </w:r>
      <w:r w:rsidR="00B87739">
        <w:rPr>
          <w:rFonts w:eastAsiaTheme="minorHAnsi"/>
          <w:b/>
          <w:szCs w:val="28"/>
          <w:lang w:val="ro-RO"/>
        </w:rPr>
        <w:t>nități</w:t>
      </w:r>
      <w:r w:rsidR="003F6DAE">
        <w:rPr>
          <w:rFonts w:eastAsiaTheme="minorHAnsi"/>
          <w:b/>
          <w:szCs w:val="28"/>
          <w:lang w:val="ro-RO"/>
        </w:rPr>
        <w:t xml:space="preserve"> de învățământ </w:t>
      </w:r>
      <w:r w:rsidR="00DC22B8">
        <w:rPr>
          <w:rFonts w:eastAsiaTheme="minorHAnsi"/>
          <w:b/>
          <w:szCs w:val="28"/>
          <w:lang w:val="ro-RO"/>
        </w:rPr>
        <w:t>vor funcționa</w:t>
      </w:r>
      <w:r w:rsidR="003F6DAE" w:rsidRPr="003F6DAE">
        <w:rPr>
          <w:rFonts w:eastAsiaTheme="minorHAnsi"/>
          <w:b/>
          <w:szCs w:val="28"/>
          <w:lang w:val="ro-RO"/>
        </w:rPr>
        <w:t xml:space="preserve"> în scenariul 3</w:t>
      </w:r>
      <w:r w:rsidR="003F6DAE">
        <w:rPr>
          <w:rFonts w:eastAsiaTheme="minorHAnsi"/>
          <w:szCs w:val="28"/>
          <w:lang w:val="ro-RO"/>
        </w:rPr>
        <w:t>,</w:t>
      </w:r>
      <w:r>
        <w:rPr>
          <w:rFonts w:eastAsiaTheme="minorHAnsi"/>
          <w:szCs w:val="28"/>
          <w:lang w:val="ro-RO"/>
        </w:rPr>
        <w:t xml:space="preserve"> astfel</w:t>
      </w:r>
      <w:r>
        <w:rPr>
          <w:rFonts w:eastAsia="Times New Roman"/>
          <w:szCs w:val="28"/>
          <w:lang w:val="ro-RO"/>
        </w:rPr>
        <w:t>:</w:t>
      </w:r>
    </w:p>
    <w:p w:rsidR="00BF5302" w:rsidRDefault="00BF5302" w:rsidP="00BF5302">
      <w:pPr>
        <w:pStyle w:val="Listparagraf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Unitățile de învățământ de pe raza comune</w:t>
      </w:r>
      <w:r w:rsidR="00B87739">
        <w:rPr>
          <w:rFonts w:eastAsia="Times New Roman"/>
          <w:szCs w:val="28"/>
          <w:lang w:val="ro-RO"/>
        </w:rPr>
        <w:t>lor</w:t>
      </w:r>
      <w:r>
        <w:rPr>
          <w:rFonts w:eastAsia="Times New Roman"/>
          <w:szCs w:val="28"/>
          <w:lang w:val="ro-RO"/>
        </w:rPr>
        <w:t xml:space="preserve"> </w:t>
      </w:r>
      <w:r w:rsidRPr="00717C70">
        <w:rPr>
          <w:rFonts w:eastAsia="Times New Roman"/>
          <w:b/>
          <w:szCs w:val="28"/>
          <w:lang w:val="ro-RO"/>
        </w:rPr>
        <w:t>Cândești și Nucet</w:t>
      </w:r>
      <w:r>
        <w:rPr>
          <w:rFonts w:eastAsia="Times New Roman"/>
          <w:szCs w:val="28"/>
          <w:lang w:val="ro-RO"/>
        </w:rPr>
        <w:t xml:space="preserve">, </w:t>
      </w:r>
      <w:r w:rsidR="00DC22B8">
        <w:rPr>
          <w:rFonts w:eastAsia="Times New Roman"/>
          <w:szCs w:val="28"/>
          <w:lang w:val="ro-RO"/>
        </w:rPr>
        <w:t>vor funcționa</w:t>
      </w:r>
      <w:r>
        <w:rPr>
          <w:rFonts w:eastAsia="Times New Roman"/>
          <w:szCs w:val="28"/>
          <w:lang w:val="ro-RO"/>
        </w:rPr>
        <w:t xml:space="preserve"> în </w:t>
      </w:r>
      <w:r w:rsidRPr="00341BDD">
        <w:rPr>
          <w:rFonts w:eastAsia="Times New Roman"/>
          <w:b/>
          <w:szCs w:val="28"/>
          <w:lang w:val="ro-RO"/>
        </w:rPr>
        <w:t>scenariul 3</w:t>
      </w:r>
      <w:r>
        <w:rPr>
          <w:rFonts w:eastAsia="Times New Roman"/>
          <w:szCs w:val="28"/>
          <w:lang w:val="ro-RO"/>
        </w:rPr>
        <w:t xml:space="preserve"> </w:t>
      </w:r>
      <w:r w:rsidR="00DC22B8">
        <w:rPr>
          <w:rFonts w:eastAsia="Times New Roman"/>
          <w:szCs w:val="28"/>
          <w:lang w:val="ro-RO"/>
        </w:rPr>
        <w:t xml:space="preserve">până la data de </w:t>
      </w:r>
      <w:r>
        <w:rPr>
          <w:rFonts w:eastAsia="Times New Roman"/>
          <w:szCs w:val="28"/>
          <w:lang w:val="ro-RO"/>
        </w:rPr>
        <w:t xml:space="preserve">5 noiembrie </w:t>
      </w:r>
      <w:proofErr w:type="spellStart"/>
      <w:r>
        <w:rPr>
          <w:rFonts w:eastAsia="Times New Roman"/>
          <w:szCs w:val="28"/>
          <w:lang w:val="ro-RO"/>
        </w:rPr>
        <w:t>a.c</w:t>
      </w:r>
      <w:proofErr w:type="spellEnd"/>
      <w:r w:rsidR="006D77F8">
        <w:rPr>
          <w:rFonts w:eastAsia="Times New Roman"/>
          <w:szCs w:val="28"/>
          <w:lang w:val="ro-RO"/>
        </w:rPr>
        <w:t>, inclusiv;</w:t>
      </w:r>
    </w:p>
    <w:p w:rsidR="00147F00" w:rsidRDefault="00147F00" w:rsidP="00147F00">
      <w:pPr>
        <w:pStyle w:val="Listparagraf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 xml:space="preserve">Unitățile de învățământ de pe raza comunei </w:t>
      </w:r>
      <w:r>
        <w:rPr>
          <w:rFonts w:eastAsia="Times New Roman"/>
          <w:b/>
          <w:szCs w:val="28"/>
          <w:lang w:val="ro-RO"/>
        </w:rPr>
        <w:t>Dobra</w:t>
      </w:r>
      <w:r w:rsidRPr="004D2990">
        <w:rPr>
          <w:rFonts w:eastAsia="Times New Roman"/>
          <w:b/>
          <w:szCs w:val="28"/>
          <w:lang w:val="ro-RO"/>
        </w:rPr>
        <w:t xml:space="preserve"> </w:t>
      </w:r>
      <w:r>
        <w:rPr>
          <w:rFonts w:eastAsia="Times New Roman"/>
          <w:szCs w:val="28"/>
          <w:lang w:val="ro-RO"/>
        </w:rPr>
        <w:t xml:space="preserve">vor funcționa în </w:t>
      </w:r>
      <w:r w:rsidRPr="00341BDD">
        <w:rPr>
          <w:rFonts w:eastAsia="Times New Roman"/>
          <w:b/>
          <w:szCs w:val="28"/>
          <w:lang w:val="ro-RO"/>
        </w:rPr>
        <w:t>scenariul 3</w:t>
      </w:r>
      <w:r>
        <w:rPr>
          <w:rFonts w:eastAsia="Times New Roman"/>
          <w:szCs w:val="28"/>
          <w:lang w:val="ro-RO"/>
        </w:rPr>
        <w:t xml:space="preserve"> până la data de 6 noiembrie </w:t>
      </w:r>
      <w:proofErr w:type="spellStart"/>
      <w:r>
        <w:rPr>
          <w:rFonts w:eastAsia="Times New Roman"/>
          <w:szCs w:val="28"/>
          <w:lang w:val="ro-RO"/>
        </w:rPr>
        <w:t>a.c</w:t>
      </w:r>
      <w:proofErr w:type="spellEnd"/>
      <w:r>
        <w:rPr>
          <w:rFonts w:eastAsia="Times New Roman"/>
          <w:szCs w:val="28"/>
          <w:lang w:val="ro-RO"/>
        </w:rPr>
        <w:t>, inclusiv;</w:t>
      </w:r>
    </w:p>
    <w:p w:rsidR="00BF5302" w:rsidRDefault="00BF5302" w:rsidP="00DC22B8">
      <w:pPr>
        <w:pStyle w:val="Listparagraf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 xml:space="preserve">Unitățile de învățământ de pe raza comunei </w:t>
      </w:r>
      <w:r w:rsidRPr="004D2990">
        <w:rPr>
          <w:rFonts w:eastAsia="Times New Roman"/>
          <w:b/>
          <w:szCs w:val="28"/>
          <w:lang w:val="ro-RO"/>
        </w:rPr>
        <w:t>Răzvad</w:t>
      </w:r>
      <w:r w:rsidR="00DC22B8" w:rsidRPr="004D2990">
        <w:rPr>
          <w:rFonts w:eastAsia="Times New Roman"/>
          <w:b/>
          <w:szCs w:val="28"/>
          <w:lang w:val="ro-RO"/>
        </w:rPr>
        <w:t xml:space="preserve"> </w:t>
      </w:r>
      <w:r w:rsidR="00DC22B8">
        <w:rPr>
          <w:rFonts w:eastAsia="Times New Roman"/>
          <w:szCs w:val="28"/>
          <w:lang w:val="ro-RO"/>
        </w:rPr>
        <w:t>vor</w:t>
      </w:r>
      <w:r>
        <w:rPr>
          <w:rFonts w:eastAsia="Times New Roman"/>
          <w:szCs w:val="28"/>
          <w:lang w:val="ro-RO"/>
        </w:rPr>
        <w:t xml:space="preserve"> </w:t>
      </w:r>
      <w:r w:rsidR="00DC22B8">
        <w:rPr>
          <w:rFonts w:eastAsia="Times New Roman"/>
          <w:szCs w:val="28"/>
          <w:lang w:val="ro-RO"/>
        </w:rPr>
        <w:t>funcționa</w:t>
      </w:r>
      <w:r>
        <w:rPr>
          <w:rFonts w:eastAsia="Times New Roman"/>
          <w:szCs w:val="28"/>
          <w:lang w:val="ro-RO"/>
        </w:rPr>
        <w:t xml:space="preserve"> în </w:t>
      </w:r>
      <w:r w:rsidRPr="00341BDD">
        <w:rPr>
          <w:rFonts w:eastAsia="Times New Roman"/>
          <w:b/>
          <w:szCs w:val="28"/>
          <w:lang w:val="ro-RO"/>
        </w:rPr>
        <w:t>scenariul 3</w:t>
      </w:r>
      <w:r>
        <w:rPr>
          <w:rFonts w:eastAsia="Times New Roman"/>
          <w:szCs w:val="28"/>
          <w:lang w:val="ro-RO"/>
        </w:rPr>
        <w:t xml:space="preserve"> </w:t>
      </w:r>
      <w:r w:rsidR="00DC22B8">
        <w:rPr>
          <w:rFonts w:eastAsia="Times New Roman"/>
          <w:szCs w:val="28"/>
          <w:lang w:val="ro-RO"/>
        </w:rPr>
        <w:t>până la data de 1</w:t>
      </w:r>
      <w:r>
        <w:rPr>
          <w:rFonts w:eastAsia="Times New Roman"/>
          <w:szCs w:val="28"/>
          <w:lang w:val="ro-RO"/>
        </w:rPr>
        <w:t xml:space="preserve">0 noiembrie </w:t>
      </w:r>
      <w:proofErr w:type="spellStart"/>
      <w:r>
        <w:rPr>
          <w:rFonts w:eastAsia="Times New Roman"/>
          <w:szCs w:val="28"/>
          <w:lang w:val="ro-RO"/>
        </w:rPr>
        <w:t>a.c</w:t>
      </w:r>
      <w:proofErr w:type="spellEnd"/>
      <w:r w:rsidR="006D77F8">
        <w:rPr>
          <w:rFonts w:eastAsia="Times New Roman"/>
          <w:szCs w:val="28"/>
          <w:lang w:val="ro-RO"/>
        </w:rPr>
        <w:t>, inclusiv</w:t>
      </w:r>
      <w:r w:rsidR="00341BDD">
        <w:rPr>
          <w:rFonts w:eastAsia="Times New Roman"/>
          <w:szCs w:val="28"/>
          <w:lang w:val="ro-RO"/>
        </w:rPr>
        <w:t>;</w:t>
      </w:r>
    </w:p>
    <w:p w:rsidR="000D7391" w:rsidRPr="00D125FC" w:rsidRDefault="00DC22B8" w:rsidP="000D739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/>
          <w:szCs w:val="28"/>
          <w:lang w:val="ro-RO"/>
        </w:rPr>
      </w:pPr>
      <w:r>
        <w:rPr>
          <w:rFonts w:eastAsiaTheme="minorHAnsi"/>
          <w:b/>
          <w:szCs w:val="28"/>
          <w:lang w:val="ro-RO"/>
        </w:rPr>
        <w:t>Art.5</w:t>
      </w:r>
      <w:r w:rsidR="000D7391" w:rsidRPr="000D7391">
        <w:rPr>
          <w:rFonts w:eastAsiaTheme="minorHAnsi"/>
          <w:b/>
          <w:szCs w:val="28"/>
          <w:lang w:val="ro-RO"/>
        </w:rPr>
        <w:t xml:space="preserve">. </w:t>
      </w:r>
      <w:r w:rsidR="003A2564">
        <w:rPr>
          <w:rFonts w:eastAsiaTheme="minorHAnsi"/>
          <w:b/>
          <w:szCs w:val="28"/>
          <w:lang w:val="ro-RO"/>
        </w:rPr>
        <w:t xml:space="preserve"> </w:t>
      </w:r>
      <w:r w:rsidR="000D7391" w:rsidRPr="000D7391">
        <w:rPr>
          <w:rFonts w:eastAsiaTheme="minorHAnsi"/>
          <w:szCs w:val="28"/>
          <w:lang w:val="ro-RO"/>
        </w:rPr>
        <w:t>Pe perioada de aplicabilitate a HG 856/2020</w:t>
      </w:r>
      <w:r w:rsidR="000D7391">
        <w:rPr>
          <w:rFonts w:eastAsiaTheme="minorHAnsi"/>
          <w:szCs w:val="28"/>
          <w:lang w:val="ro-RO"/>
        </w:rPr>
        <w:t xml:space="preserve">, </w:t>
      </w:r>
      <w:r w:rsidR="000D7391" w:rsidRPr="00D125FC">
        <w:rPr>
          <w:rFonts w:eastAsiaTheme="minorHAnsi"/>
          <w:b/>
          <w:szCs w:val="28"/>
          <w:lang w:val="ro-RO"/>
        </w:rPr>
        <w:t xml:space="preserve">respectiv </w:t>
      </w:r>
      <w:r w:rsidR="00B41923">
        <w:rPr>
          <w:rFonts w:eastAsiaTheme="minorHAnsi"/>
          <w:b/>
          <w:szCs w:val="28"/>
          <w:lang w:val="ro-RO"/>
        </w:rPr>
        <w:t>1</w:t>
      </w:r>
      <w:r w:rsidR="00575FAD">
        <w:rPr>
          <w:rFonts w:eastAsiaTheme="minorHAnsi"/>
          <w:b/>
          <w:szCs w:val="28"/>
          <w:lang w:val="ro-RO"/>
        </w:rPr>
        <w:t>5</w:t>
      </w:r>
      <w:r w:rsidR="000D7391" w:rsidRPr="00D125FC">
        <w:rPr>
          <w:rFonts w:eastAsiaTheme="minorHAnsi"/>
          <w:b/>
          <w:szCs w:val="28"/>
          <w:lang w:val="ro-RO"/>
        </w:rPr>
        <w:t xml:space="preserve"> octombrie-13 noiembrie </w:t>
      </w:r>
      <w:proofErr w:type="spellStart"/>
      <w:r w:rsidR="000D7391" w:rsidRPr="00D125FC">
        <w:rPr>
          <w:rFonts w:eastAsiaTheme="minorHAnsi"/>
          <w:b/>
          <w:szCs w:val="28"/>
          <w:lang w:val="ro-RO"/>
        </w:rPr>
        <w:t>a.c</w:t>
      </w:r>
      <w:proofErr w:type="spellEnd"/>
      <w:r w:rsidR="000D7391" w:rsidRPr="00D125FC">
        <w:rPr>
          <w:rFonts w:eastAsiaTheme="minorHAnsi"/>
          <w:b/>
          <w:szCs w:val="28"/>
          <w:lang w:val="ro-RO"/>
        </w:rPr>
        <w:t xml:space="preserve">, sunt </w:t>
      </w:r>
      <w:proofErr w:type="spellStart"/>
      <w:r w:rsidR="000D7391" w:rsidRPr="00D125FC">
        <w:rPr>
          <w:rFonts w:eastAsiaTheme="minorHAnsi"/>
          <w:b/>
          <w:szCs w:val="28"/>
          <w:lang w:val="ro-RO"/>
        </w:rPr>
        <w:t>înterzise</w:t>
      </w:r>
      <w:proofErr w:type="spellEnd"/>
      <w:r w:rsidR="000D7391" w:rsidRPr="00D125FC">
        <w:rPr>
          <w:rFonts w:eastAsiaTheme="minorHAnsi"/>
          <w:b/>
          <w:szCs w:val="28"/>
          <w:lang w:val="ro-RO"/>
        </w:rPr>
        <w:t xml:space="preserve"> următoarele activități:</w:t>
      </w:r>
    </w:p>
    <w:p w:rsidR="000D7391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507F89">
        <w:rPr>
          <w:szCs w:val="28"/>
        </w:rPr>
        <w:t xml:space="preserve">se interzice organizarea de evenimente private (nunţi, botezuri, mese festive etc.) </w:t>
      </w:r>
      <w:r>
        <w:rPr>
          <w:szCs w:val="28"/>
        </w:rPr>
        <w:t xml:space="preserve">atât </w:t>
      </w:r>
      <w:r w:rsidRPr="00507F89">
        <w:rPr>
          <w:szCs w:val="28"/>
        </w:rPr>
        <w:t>în spaţii închise</w:t>
      </w:r>
      <w:r>
        <w:rPr>
          <w:szCs w:val="28"/>
        </w:rPr>
        <w:t>, cât și în spații deschise</w:t>
      </w:r>
      <w:r w:rsidRPr="00507F89">
        <w:rPr>
          <w:szCs w:val="28"/>
        </w:rPr>
        <w:t xml:space="preserve"> cum ar fi, fără a se limita la acestea, saloane, cămine culturale, restaurante, baruri, cafen</w:t>
      </w:r>
      <w:r>
        <w:rPr>
          <w:szCs w:val="28"/>
        </w:rPr>
        <w:t>ele, săli/corturi de evenimente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- nu este permisă activitatea în baruri, cluburi, discoteci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 xml:space="preserve">- se interzic activităţile recreative şi sportive desfăşurate în aer liber, cu excepţia celor care se desfăşoară cu participarea a cel mult 10 persoane care nu locuiesc împreună, stabilite prin ordin comun al ministrului sănătăţii, după caz, cu ministrul tineretului şi </w:t>
      </w:r>
      <w:r w:rsidRPr="00507F89">
        <w:rPr>
          <w:szCs w:val="28"/>
        </w:rPr>
        <w:lastRenderedPageBreak/>
        <w:t>sportului, ministrul mediului, apelor şi pădurilor sau ministrul agr</w:t>
      </w:r>
      <w:r>
        <w:rPr>
          <w:szCs w:val="28"/>
        </w:rPr>
        <w:t>iculturii şi dezvoltării rurale</w:t>
      </w:r>
    </w:p>
    <w:p w:rsidR="000D7391" w:rsidRPr="00507F89" w:rsidRDefault="000D7391" w:rsidP="000D739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07F89">
        <w:rPr>
          <w:szCs w:val="28"/>
        </w:rPr>
        <w:t>- în interiorul localităţilor se interzic circulaţia persoanelor în grupuri pietonale mai mari de 6 persoane care nu aparţin aceleiaşi familii, precum şi</w:t>
      </w:r>
      <w:r>
        <w:rPr>
          <w:szCs w:val="28"/>
        </w:rPr>
        <w:t xml:space="preserve"> formarea unor asemenea grupuri</w:t>
      </w:r>
    </w:p>
    <w:p w:rsidR="000D7391" w:rsidRDefault="000D7391" w:rsidP="000D7391">
      <w:pPr>
        <w:pStyle w:val="Listparagraf"/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  <w:r w:rsidRPr="00507F89">
        <w:rPr>
          <w:szCs w:val="28"/>
        </w:rPr>
        <w:t>- prepararea, comercializarea şi consumul produselor alimentare şi băuturilor alcoolice şi nealcoolice sunt permise în spaţiile special destinate dispuse în exteriorul clădirilor, în aer liber, cu asigurarea unei distanţe de minimum 2 m între mese şi participarea a maximum 6 persoane la o masă, dacă sunt din familii diferite, şi cu respectarea măsurilor de protecţie sanitară</w:t>
      </w:r>
      <w:r>
        <w:rPr>
          <w:szCs w:val="28"/>
        </w:rPr>
        <w:t>;</w:t>
      </w:r>
    </w:p>
    <w:p w:rsidR="00A31041" w:rsidRDefault="00A31041" w:rsidP="000D7391">
      <w:pPr>
        <w:pStyle w:val="Listparagraf"/>
        <w:autoSpaceDE w:val="0"/>
        <w:autoSpaceDN w:val="0"/>
        <w:adjustRightInd w:val="0"/>
        <w:spacing w:line="276" w:lineRule="auto"/>
        <w:ind w:left="0"/>
        <w:jc w:val="both"/>
        <w:rPr>
          <w:szCs w:val="28"/>
        </w:rPr>
      </w:pPr>
    </w:p>
    <w:p w:rsidR="00A236ED" w:rsidRPr="00A236ED" w:rsidRDefault="00A236ED" w:rsidP="00A236ED">
      <w:pPr>
        <w:pStyle w:val="Listparagraf"/>
        <w:tabs>
          <w:tab w:val="left" w:pos="8655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szCs w:val="28"/>
        </w:rPr>
      </w:pPr>
      <w:r w:rsidRPr="00A236ED">
        <w:rPr>
          <w:rFonts w:eastAsia="Times New Roman"/>
          <w:b/>
          <w:lang w:val="ro-RO"/>
        </w:rPr>
        <w:t xml:space="preserve">         Art.6. Hotărârea CJSU Dâmbov</w:t>
      </w:r>
      <w:r>
        <w:rPr>
          <w:rFonts w:eastAsia="Times New Roman"/>
          <w:b/>
          <w:lang w:val="ro-RO"/>
        </w:rPr>
        <w:t>ița nr. 64/26.10.2020 se revocă;</w:t>
      </w:r>
    </w:p>
    <w:p w:rsidR="005E5AF8" w:rsidRDefault="003A0029" w:rsidP="003F6D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b/>
        </w:rPr>
      </w:pPr>
      <w:r>
        <w:rPr>
          <w:rFonts w:eastAsia="Times New Roman"/>
          <w:b/>
          <w:lang w:val="ro-RO"/>
        </w:rPr>
        <w:t>Art.</w:t>
      </w:r>
      <w:r w:rsidR="00A236ED">
        <w:rPr>
          <w:rFonts w:eastAsia="Times New Roman"/>
          <w:b/>
          <w:lang w:val="ro-RO"/>
        </w:rPr>
        <w:t>7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 xml:space="preserve">c Permanent al Comitetului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Urgenţă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>a</w:t>
      </w:r>
      <w:proofErr w:type="spellEnd"/>
      <w:r w:rsidR="00C55709" w:rsidRPr="00E176D2">
        <w:rPr>
          <w:rFonts w:eastAsia="Times New Roman"/>
          <w:lang w:val="ro-RO"/>
        </w:rPr>
        <w:t xml:space="preserve">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-ul</w:t>
      </w:r>
      <w:r w:rsidR="00797922">
        <w:rPr>
          <w:rFonts w:eastAsia="Times New Roman"/>
          <w:b/>
        </w:rPr>
        <w:t xml:space="preserve"> </w:t>
      </w:r>
      <w:r w:rsidR="00DE2AB1" w:rsidRPr="009048A6">
        <w:rPr>
          <w:rFonts w:eastAsia="Times New Roman"/>
          <w:b/>
        </w:rPr>
        <w:t>Institu</w:t>
      </w:r>
      <w:proofErr w:type="spellStart"/>
      <w:r w:rsidR="00DE2AB1" w:rsidRPr="009048A6">
        <w:rPr>
          <w:rFonts w:eastAsia="Times New Roman"/>
          <w:b/>
          <w:lang w:val="ro-RO"/>
        </w:rPr>
        <w:t>ţiei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Prefectului </w:t>
      </w:r>
      <w:r w:rsidR="00DE2AB1" w:rsidRPr="009048A6">
        <w:rPr>
          <w:rFonts w:eastAsia="Times New Roman"/>
          <w:b/>
        </w:rPr>
        <w:t>– jude</w:t>
      </w:r>
      <w:proofErr w:type="spellStart"/>
      <w:r w:rsidR="00DE2AB1" w:rsidRPr="009048A6">
        <w:rPr>
          <w:rFonts w:eastAsia="Times New Roman"/>
          <w:b/>
          <w:lang w:val="ro-RO"/>
        </w:rPr>
        <w:t>ţul</w:t>
      </w:r>
      <w:proofErr w:type="spellEnd"/>
      <w:r w:rsidR="00797922">
        <w:rPr>
          <w:rFonts w:eastAsia="Times New Roman"/>
          <w:b/>
          <w:lang w:val="ro-RO"/>
        </w:rPr>
        <w:t xml:space="preserve"> </w:t>
      </w:r>
      <w:proofErr w:type="spellStart"/>
      <w:r w:rsidR="00DE2AB1" w:rsidRPr="009048A6">
        <w:rPr>
          <w:rFonts w:eastAsia="Times New Roman"/>
          <w:b/>
          <w:lang w:val="ro-RO"/>
        </w:rPr>
        <w:t>Dâmboviţa</w:t>
      </w:r>
      <w:proofErr w:type="spellEnd"/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proofErr w:type="spellStart"/>
      <w:r w:rsidR="00DE2AB1" w:rsidRPr="009048A6">
        <w:rPr>
          <w:rFonts w:eastAsia="Times New Roman"/>
          <w:b/>
          <w:lang w:val="ro-RO"/>
        </w:rPr>
        <w:t>ţiunea</w:t>
      </w:r>
      <w:proofErr w:type="spellEnd"/>
      <w:r w:rsidR="00DE2AB1" w:rsidRPr="009048A6">
        <w:rPr>
          <w:rFonts w:eastAsia="Times New Roman"/>
          <w:b/>
        </w:rPr>
        <w:t>: Activit</w:t>
      </w:r>
      <w:proofErr w:type="spellStart"/>
      <w:r w:rsidR="00DE2AB1" w:rsidRPr="009048A6">
        <w:rPr>
          <w:rFonts w:eastAsia="Times New Roman"/>
          <w:b/>
          <w:lang w:val="ro-RO"/>
        </w:rPr>
        <w:t>ăţi</w:t>
      </w:r>
      <w:proofErr w:type="spellEnd"/>
      <w:r w:rsidR="00DE2AB1" w:rsidRPr="009048A6">
        <w:rPr>
          <w:rFonts w:eastAsia="Times New Roman"/>
          <w:b/>
        </w:rPr>
        <w:t>_Situa</w:t>
      </w:r>
      <w:proofErr w:type="spellStart"/>
      <w:r w:rsidR="00DE2AB1" w:rsidRPr="009048A6">
        <w:rPr>
          <w:rFonts w:eastAsia="Times New Roman"/>
          <w:b/>
          <w:lang w:val="ro-RO"/>
        </w:rPr>
        <w:t>ţii</w:t>
      </w:r>
      <w:proofErr w:type="spellEnd"/>
      <w:r w:rsidR="00DE2AB1" w:rsidRPr="009048A6">
        <w:rPr>
          <w:rFonts w:eastAsia="Times New Roman"/>
          <w:b/>
          <w:lang w:val="ro-RO"/>
        </w:rPr>
        <w:t xml:space="preserve"> de </w:t>
      </w:r>
      <w:proofErr w:type="spellStart"/>
      <w:r w:rsidR="00DE2AB1" w:rsidRPr="009048A6">
        <w:rPr>
          <w:rFonts w:eastAsia="Times New Roman"/>
          <w:b/>
          <w:lang w:val="ro-RO"/>
        </w:rPr>
        <w:t>Urgenţă</w:t>
      </w:r>
      <w:proofErr w:type="spellEnd"/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proofErr w:type="spellStart"/>
      <w:r w:rsidR="00DE2AB1">
        <w:rPr>
          <w:rFonts w:eastAsia="Times New Roman"/>
          <w:lang w:val="ro-RO"/>
        </w:rPr>
        <w:t>şi</w:t>
      </w:r>
      <w:proofErr w:type="spellEnd"/>
      <w:r w:rsidR="00DE2AB1">
        <w:rPr>
          <w:rFonts w:eastAsia="Times New Roman"/>
          <w:lang w:val="ro-RO"/>
        </w:rPr>
        <w:t xml:space="preserve">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 xml:space="preserve">Departamentului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</w:t>
      </w:r>
      <w:r w:rsidR="00C55709" w:rsidRPr="00E176D2">
        <w:rPr>
          <w:rFonts w:eastAsia="Times New Roman"/>
          <w:lang w:val="ro-RO"/>
        </w:rPr>
        <w:t>ă</w:t>
      </w:r>
      <w:proofErr w:type="spellEnd"/>
      <w:r w:rsidR="00C55709" w:rsidRPr="00E176D2">
        <w:rPr>
          <w:rFonts w:eastAsia="Times New Roman"/>
          <w:lang w:val="ro-RO"/>
        </w:rPr>
        <w:t>, Inspectoratului Gene</w:t>
      </w:r>
      <w:r w:rsidR="00D17B98">
        <w:rPr>
          <w:rFonts w:eastAsia="Times New Roman"/>
          <w:lang w:val="ro-RO"/>
        </w:rPr>
        <w:t xml:space="preserve">ral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</w:t>
      </w:r>
      <w:r w:rsidR="00636A7B">
        <w:rPr>
          <w:rFonts w:eastAsia="Times New Roman"/>
          <w:lang w:val="ro-RO"/>
        </w:rPr>
        <w:t>ă</w:t>
      </w:r>
      <w:proofErr w:type="spellEnd"/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 xml:space="preserve">Comitetului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Urgenţă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Dâmboviţa</w:t>
      </w:r>
      <w:proofErr w:type="spellEnd"/>
      <w:r w:rsidR="00D17B98">
        <w:rPr>
          <w:rFonts w:eastAsia="Times New Roman"/>
          <w:lang w:val="ro-RO"/>
        </w:rPr>
        <w:t xml:space="preserve">, </w:t>
      </w:r>
      <w:proofErr w:type="spellStart"/>
      <w:r w:rsidR="00D17B98">
        <w:rPr>
          <w:rFonts w:eastAsia="Times New Roman"/>
          <w:lang w:val="ro-RO"/>
        </w:rPr>
        <w:t>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proofErr w:type="spellEnd"/>
      <w:r w:rsidR="00D17B98">
        <w:rPr>
          <w:rFonts w:eastAsia="Times New Roman"/>
          <w:lang w:val="ro-RO"/>
        </w:rPr>
        <w:t xml:space="preserve"> de Sănătate Publică </w:t>
      </w:r>
      <w:proofErr w:type="spellStart"/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>a</w:t>
      </w:r>
      <w:proofErr w:type="spellEnd"/>
      <w:r w:rsidR="00C55709" w:rsidRPr="00E176D2">
        <w:rPr>
          <w:rFonts w:eastAsia="Times New Roman"/>
          <w:lang w:val="ro-RO"/>
        </w:rPr>
        <w:t>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Poliţie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Judeţean</w:t>
      </w:r>
      <w:proofErr w:type="spellEnd"/>
      <w:r w:rsidR="00797922">
        <w:rPr>
          <w:rFonts w:eastAsia="Times New Roman"/>
          <w:lang w:val="ro-RO"/>
        </w:rPr>
        <w:t xml:space="preserve"> </w:t>
      </w:r>
      <w:proofErr w:type="spellStart"/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>a</w:t>
      </w:r>
      <w:proofErr w:type="spellEnd"/>
      <w:r w:rsidR="00636A7B">
        <w:rPr>
          <w:rFonts w:eastAsia="Times New Roman"/>
          <w:lang w:val="ro-RO"/>
        </w:rPr>
        <w:t>, pre</w:t>
      </w:r>
      <w:r w:rsidR="00D17B98">
        <w:rPr>
          <w:rFonts w:eastAsia="Times New Roman"/>
          <w:lang w:val="ro-RO"/>
        </w:rPr>
        <w:t xml:space="preserve">cum </w:t>
      </w:r>
      <w:proofErr w:type="spellStart"/>
      <w:r w:rsidR="00D17B98">
        <w:rPr>
          <w:rFonts w:eastAsia="Times New Roman"/>
          <w:lang w:val="ro-RO"/>
        </w:rPr>
        <w:t>ş</w:t>
      </w:r>
      <w:r w:rsidR="00636A7B">
        <w:rPr>
          <w:rFonts w:eastAsia="Times New Roman"/>
          <w:lang w:val="ro-RO"/>
        </w:rPr>
        <w:t>i</w:t>
      </w:r>
      <w:proofErr w:type="spellEnd"/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 xml:space="preserve">în calitate de </w:t>
      </w:r>
      <w:proofErr w:type="spellStart"/>
      <w:r w:rsidR="00D17B98">
        <w:rPr>
          <w:rFonts w:eastAsia="Times New Roman"/>
          <w:lang w:val="ro-RO"/>
        </w:rPr>
        <w:t>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</w:t>
      </w:r>
      <w:proofErr w:type="spellEnd"/>
      <w:r w:rsidR="00C02031">
        <w:rPr>
          <w:rFonts w:eastAsia="Times New Roman"/>
          <w:lang w:val="ro-RO"/>
        </w:rPr>
        <w:t xml:space="preserve">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</w:t>
      </w:r>
      <w:proofErr w:type="spellStart"/>
      <w:r w:rsidR="00D17B98">
        <w:rPr>
          <w:rFonts w:eastAsia="Times New Roman"/>
          <w:lang w:val="ro-RO"/>
        </w:rPr>
        <w:t>Situaţii</w:t>
      </w:r>
      <w:proofErr w:type="spellEnd"/>
      <w:r w:rsidR="00D17B98">
        <w:rPr>
          <w:rFonts w:eastAsia="Times New Roman"/>
          <w:lang w:val="ro-RO"/>
        </w:rPr>
        <w:t xml:space="preserve"> de </w:t>
      </w:r>
      <w:proofErr w:type="spellStart"/>
      <w:r w:rsidR="00D17B98">
        <w:rPr>
          <w:rFonts w:eastAsia="Times New Roman"/>
          <w:lang w:val="ro-RO"/>
        </w:rPr>
        <w:t>Urgenţ</w:t>
      </w:r>
      <w:r w:rsidR="00636A7B" w:rsidRPr="00E176D2">
        <w:rPr>
          <w:rFonts w:eastAsia="Times New Roman"/>
          <w:lang w:val="ro-RO"/>
        </w:rPr>
        <w:t>ă</w:t>
      </w:r>
      <w:proofErr w:type="spellEnd"/>
      <w:r w:rsidR="00C02031">
        <w:rPr>
          <w:rFonts w:eastAsia="Times New Roman"/>
          <w:lang w:val="ro-RO"/>
        </w:rPr>
        <w:t xml:space="preserve"> din următoarele </w:t>
      </w:r>
      <w:proofErr w:type="spellStart"/>
      <w:r w:rsidR="00C02031">
        <w:rPr>
          <w:rFonts w:eastAsia="Times New Roman"/>
          <w:lang w:val="ro-RO"/>
        </w:rPr>
        <w:t>unităţi</w:t>
      </w:r>
      <w:proofErr w:type="spellEnd"/>
      <w:r w:rsidR="00C02031">
        <w:rPr>
          <w:rFonts w:eastAsia="Times New Roman"/>
          <w:lang w:val="ro-RO"/>
        </w:rPr>
        <w:t xml:space="preserve"> administrativ</w:t>
      </w:r>
      <w:r w:rsidR="00C02031">
        <w:rPr>
          <w:rFonts w:eastAsia="Times New Roman"/>
        </w:rPr>
        <w:t>-</w:t>
      </w:r>
      <w:r w:rsidR="00C02031">
        <w:rPr>
          <w:rFonts w:eastAsia="Times New Roman"/>
          <w:lang w:val="ro-RO"/>
        </w:rPr>
        <w:t>teritoriale</w:t>
      </w:r>
      <w:r w:rsidR="00C02031">
        <w:rPr>
          <w:rFonts w:eastAsia="Times New Roman"/>
        </w:rPr>
        <w:t xml:space="preserve">: </w:t>
      </w:r>
      <w:r w:rsidR="00DC22B8">
        <w:rPr>
          <w:rFonts w:eastAsia="Times New Roman"/>
          <w:b/>
        </w:rPr>
        <w:t>Malu cu Flori, Vișina, Cobia, Răcari</w:t>
      </w:r>
      <w:r w:rsidR="003F6DAE" w:rsidRPr="003F6DAE">
        <w:rPr>
          <w:rFonts w:eastAsia="Times New Roman"/>
          <w:b/>
        </w:rPr>
        <w:t>.</w:t>
      </w:r>
    </w:p>
    <w:p w:rsidR="003F6DAE" w:rsidRPr="003F6DAE" w:rsidRDefault="003F6DAE" w:rsidP="003F6D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lang w:val="ro-RO"/>
        </w:rPr>
      </w:pP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0BC3" w:rsidRDefault="00270BC3" w:rsidP="00FA7115">
      <w:pPr>
        <w:spacing w:after="0" w:line="240" w:lineRule="auto"/>
      </w:pPr>
      <w:r>
        <w:separator/>
      </w:r>
    </w:p>
  </w:endnote>
  <w:endnote w:type="continuationSeparator" w:id="0">
    <w:p w:rsidR="00270BC3" w:rsidRDefault="00270BC3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B2797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B2797" w:rsidRPr="00820E2A">
      <w:rPr>
        <w:sz w:val="14"/>
        <w:szCs w:val="14"/>
      </w:rPr>
      <w:fldChar w:fldCharType="separate"/>
    </w:r>
    <w:r w:rsidR="00147F00">
      <w:rPr>
        <w:noProof/>
        <w:sz w:val="14"/>
        <w:szCs w:val="14"/>
      </w:rPr>
      <w:t>3</w:t>
    </w:r>
    <w:r w:rsidR="002B2797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B2797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B2797" w:rsidRPr="00820E2A">
      <w:rPr>
        <w:sz w:val="14"/>
        <w:szCs w:val="14"/>
      </w:rPr>
      <w:fldChar w:fldCharType="separate"/>
    </w:r>
    <w:r w:rsidR="00147F00">
      <w:rPr>
        <w:noProof/>
        <w:sz w:val="14"/>
        <w:szCs w:val="14"/>
      </w:rPr>
      <w:t>3</w:t>
    </w:r>
    <w:r w:rsidR="002B2797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AF0B21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B94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rPr>
        <w:sz w:val="20"/>
        <w:szCs w:val="20"/>
      </w:rPr>
      <w:t>Pagină</w:t>
    </w:r>
    <w:r w:rsidR="002B2797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2B2797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2B2797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2B2797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2B2797" w:rsidRPr="00472082">
      <w:rPr>
        <w:b/>
        <w:sz w:val="20"/>
        <w:szCs w:val="20"/>
      </w:rPr>
      <w:fldChar w:fldCharType="separate"/>
    </w:r>
    <w:r w:rsidR="00E9003E">
      <w:rPr>
        <w:b/>
        <w:noProof/>
        <w:sz w:val="20"/>
        <w:szCs w:val="20"/>
      </w:rPr>
      <w:t>4</w:t>
    </w:r>
    <w:r w:rsidR="002B2797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0BC3" w:rsidRDefault="00270BC3" w:rsidP="00FA7115">
      <w:pPr>
        <w:spacing w:after="0" w:line="240" w:lineRule="auto"/>
      </w:pPr>
      <w:r>
        <w:separator/>
      </w:r>
    </w:p>
  </w:footnote>
  <w:footnote w:type="continuationSeparator" w:id="0">
    <w:p w:rsidR="00270BC3" w:rsidRDefault="00270BC3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4098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38"/>
    <w:rsid w:val="000008E7"/>
    <w:rsid w:val="00000F6D"/>
    <w:rsid w:val="000035ED"/>
    <w:rsid w:val="00007B05"/>
    <w:rsid w:val="00013BC4"/>
    <w:rsid w:val="000179FD"/>
    <w:rsid w:val="00022D53"/>
    <w:rsid w:val="000241DE"/>
    <w:rsid w:val="000243E5"/>
    <w:rsid w:val="00031FE6"/>
    <w:rsid w:val="00032E08"/>
    <w:rsid w:val="00042AEA"/>
    <w:rsid w:val="0005061F"/>
    <w:rsid w:val="000546CF"/>
    <w:rsid w:val="000554E4"/>
    <w:rsid w:val="000568D1"/>
    <w:rsid w:val="000719D9"/>
    <w:rsid w:val="00081776"/>
    <w:rsid w:val="000913D8"/>
    <w:rsid w:val="00091964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41FD3"/>
    <w:rsid w:val="00147F00"/>
    <w:rsid w:val="001532F5"/>
    <w:rsid w:val="00153EDA"/>
    <w:rsid w:val="001568B7"/>
    <w:rsid w:val="00164FF9"/>
    <w:rsid w:val="001941BD"/>
    <w:rsid w:val="0019428C"/>
    <w:rsid w:val="00194967"/>
    <w:rsid w:val="001A131B"/>
    <w:rsid w:val="001A50B9"/>
    <w:rsid w:val="001A74B3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6761"/>
    <w:rsid w:val="00201845"/>
    <w:rsid w:val="0020355D"/>
    <w:rsid w:val="00203E80"/>
    <w:rsid w:val="0020626E"/>
    <w:rsid w:val="002156A5"/>
    <w:rsid w:val="0021609A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70BC3"/>
    <w:rsid w:val="00273298"/>
    <w:rsid w:val="00273D77"/>
    <w:rsid w:val="002840D7"/>
    <w:rsid w:val="0028551D"/>
    <w:rsid w:val="002904EA"/>
    <w:rsid w:val="002A2F14"/>
    <w:rsid w:val="002B1D7B"/>
    <w:rsid w:val="002B2797"/>
    <w:rsid w:val="002B2EB3"/>
    <w:rsid w:val="002B41FE"/>
    <w:rsid w:val="002C02F7"/>
    <w:rsid w:val="002C05C8"/>
    <w:rsid w:val="002D7B2F"/>
    <w:rsid w:val="002E2976"/>
    <w:rsid w:val="002E3F84"/>
    <w:rsid w:val="002E5D00"/>
    <w:rsid w:val="002E6FEC"/>
    <w:rsid w:val="002F0219"/>
    <w:rsid w:val="002F14D5"/>
    <w:rsid w:val="002F5666"/>
    <w:rsid w:val="002F7B33"/>
    <w:rsid w:val="00322E85"/>
    <w:rsid w:val="00327345"/>
    <w:rsid w:val="00333AD7"/>
    <w:rsid w:val="00340BA1"/>
    <w:rsid w:val="00341BDD"/>
    <w:rsid w:val="003439AC"/>
    <w:rsid w:val="00347BEC"/>
    <w:rsid w:val="00352A26"/>
    <w:rsid w:val="00356151"/>
    <w:rsid w:val="0036582C"/>
    <w:rsid w:val="00367E38"/>
    <w:rsid w:val="00376BB0"/>
    <w:rsid w:val="003770F2"/>
    <w:rsid w:val="00387AC5"/>
    <w:rsid w:val="00390821"/>
    <w:rsid w:val="00391D1B"/>
    <w:rsid w:val="00394299"/>
    <w:rsid w:val="00396D66"/>
    <w:rsid w:val="003A0029"/>
    <w:rsid w:val="003A2564"/>
    <w:rsid w:val="003A3749"/>
    <w:rsid w:val="003B3B61"/>
    <w:rsid w:val="003B6104"/>
    <w:rsid w:val="003C0C74"/>
    <w:rsid w:val="003C1C02"/>
    <w:rsid w:val="003C412B"/>
    <w:rsid w:val="003C672A"/>
    <w:rsid w:val="003C7F26"/>
    <w:rsid w:val="003D3F5E"/>
    <w:rsid w:val="003E08C8"/>
    <w:rsid w:val="003E2224"/>
    <w:rsid w:val="003F06A7"/>
    <w:rsid w:val="003F4FE4"/>
    <w:rsid w:val="003F6DAE"/>
    <w:rsid w:val="003F726C"/>
    <w:rsid w:val="00407013"/>
    <w:rsid w:val="00414121"/>
    <w:rsid w:val="0042013A"/>
    <w:rsid w:val="00431841"/>
    <w:rsid w:val="00434DD4"/>
    <w:rsid w:val="0043524F"/>
    <w:rsid w:val="0044513E"/>
    <w:rsid w:val="00445D42"/>
    <w:rsid w:val="004514ED"/>
    <w:rsid w:val="00453978"/>
    <w:rsid w:val="00475AFC"/>
    <w:rsid w:val="004872F9"/>
    <w:rsid w:val="00487C2D"/>
    <w:rsid w:val="00490489"/>
    <w:rsid w:val="004948D2"/>
    <w:rsid w:val="004A09D9"/>
    <w:rsid w:val="004A149F"/>
    <w:rsid w:val="004B2AC1"/>
    <w:rsid w:val="004B4143"/>
    <w:rsid w:val="004B4A6D"/>
    <w:rsid w:val="004B63CD"/>
    <w:rsid w:val="004C4E4D"/>
    <w:rsid w:val="004D2759"/>
    <w:rsid w:val="004D2990"/>
    <w:rsid w:val="004D5CC6"/>
    <w:rsid w:val="004E2BB3"/>
    <w:rsid w:val="004E3BAB"/>
    <w:rsid w:val="004F099F"/>
    <w:rsid w:val="004F129B"/>
    <w:rsid w:val="00500CA9"/>
    <w:rsid w:val="005042B6"/>
    <w:rsid w:val="00506CED"/>
    <w:rsid w:val="005072CF"/>
    <w:rsid w:val="00507F5E"/>
    <w:rsid w:val="005162AE"/>
    <w:rsid w:val="005214DA"/>
    <w:rsid w:val="0052702B"/>
    <w:rsid w:val="00531031"/>
    <w:rsid w:val="005377EE"/>
    <w:rsid w:val="00541CD7"/>
    <w:rsid w:val="00544B9C"/>
    <w:rsid w:val="00555CD9"/>
    <w:rsid w:val="005725B9"/>
    <w:rsid w:val="005748CA"/>
    <w:rsid w:val="00575FAD"/>
    <w:rsid w:val="005813E5"/>
    <w:rsid w:val="00585D15"/>
    <w:rsid w:val="00587512"/>
    <w:rsid w:val="00591448"/>
    <w:rsid w:val="00591938"/>
    <w:rsid w:val="00593FBA"/>
    <w:rsid w:val="00595FBE"/>
    <w:rsid w:val="005A47D4"/>
    <w:rsid w:val="005A493B"/>
    <w:rsid w:val="005A7A63"/>
    <w:rsid w:val="005B2476"/>
    <w:rsid w:val="005B2B1F"/>
    <w:rsid w:val="005B6C2C"/>
    <w:rsid w:val="005B79EB"/>
    <w:rsid w:val="005C62E5"/>
    <w:rsid w:val="005D38BB"/>
    <w:rsid w:val="005D67A1"/>
    <w:rsid w:val="005D7EF9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2914"/>
    <w:rsid w:val="005F61D0"/>
    <w:rsid w:val="005F74C1"/>
    <w:rsid w:val="006031BB"/>
    <w:rsid w:val="00621AF0"/>
    <w:rsid w:val="0062386E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3166"/>
    <w:rsid w:val="006B309C"/>
    <w:rsid w:val="006C0A78"/>
    <w:rsid w:val="006C0F04"/>
    <w:rsid w:val="006D000E"/>
    <w:rsid w:val="006D00FD"/>
    <w:rsid w:val="006D77F8"/>
    <w:rsid w:val="006E213E"/>
    <w:rsid w:val="006E5206"/>
    <w:rsid w:val="006E567B"/>
    <w:rsid w:val="006F2321"/>
    <w:rsid w:val="00702231"/>
    <w:rsid w:val="0070238A"/>
    <w:rsid w:val="007031CC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7BF9"/>
    <w:rsid w:val="007C1290"/>
    <w:rsid w:val="007D66A9"/>
    <w:rsid w:val="007F2CC7"/>
    <w:rsid w:val="008036BF"/>
    <w:rsid w:val="00811A91"/>
    <w:rsid w:val="00815398"/>
    <w:rsid w:val="00815966"/>
    <w:rsid w:val="00815EE4"/>
    <w:rsid w:val="008203FF"/>
    <w:rsid w:val="0082094A"/>
    <w:rsid w:val="008214BE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6942"/>
    <w:rsid w:val="008A06E8"/>
    <w:rsid w:val="008A0DFF"/>
    <w:rsid w:val="008A77D3"/>
    <w:rsid w:val="008B19CF"/>
    <w:rsid w:val="008B2F34"/>
    <w:rsid w:val="008C5A9F"/>
    <w:rsid w:val="008C70A2"/>
    <w:rsid w:val="008D238C"/>
    <w:rsid w:val="008E547E"/>
    <w:rsid w:val="008E72B3"/>
    <w:rsid w:val="008F3E67"/>
    <w:rsid w:val="008F593B"/>
    <w:rsid w:val="009020E2"/>
    <w:rsid w:val="009048A6"/>
    <w:rsid w:val="00904A94"/>
    <w:rsid w:val="009168B7"/>
    <w:rsid w:val="0092136D"/>
    <w:rsid w:val="009222B5"/>
    <w:rsid w:val="009222B6"/>
    <w:rsid w:val="009238C4"/>
    <w:rsid w:val="0092506C"/>
    <w:rsid w:val="00925BEC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52CB"/>
    <w:rsid w:val="00975624"/>
    <w:rsid w:val="00986DA8"/>
    <w:rsid w:val="00990A0C"/>
    <w:rsid w:val="00991368"/>
    <w:rsid w:val="0099259B"/>
    <w:rsid w:val="00992EBA"/>
    <w:rsid w:val="009A3AA2"/>
    <w:rsid w:val="009A3BC4"/>
    <w:rsid w:val="009B0112"/>
    <w:rsid w:val="009B40D0"/>
    <w:rsid w:val="009B5477"/>
    <w:rsid w:val="009B67D6"/>
    <w:rsid w:val="009B7A89"/>
    <w:rsid w:val="009C367F"/>
    <w:rsid w:val="009C616A"/>
    <w:rsid w:val="009D3C95"/>
    <w:rsid w:val="009E0D27"/>
    <w:rsid w:val="009E2096"/>
    <w:rsid w:val="009E35C6"/>
    <w:rsid w:val="009E6D06"/>
    <w:rsid w:val="009F1F94"/>
    <w:rsid w:val="009F29C7"/>
    <w:rsid w:val="00A01BDC"/>
    <w:rsid w:val="00A147B6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695B"/>
    <w:rsid w:val="00AB14E8"/>
    <w:rsid w:val="00AB1D49"/>
    <w:rsid w:val="00AB26D7"/>
    <w:rsid w:val="00AC2DC4"/>
    <w:rsid w:val="00AC7294"/>
    <w:rsid w:val="00AC7BF9"/>
    <w:rsid w:val="00AD0E95"/>
    <w:rsid w:val="00AD365F"/>
    <w:rsid w:val="00AD74B0"/>
    <w:rsid w:val="00AF0B21"/>
    <w:rsid w:val="00AF4C5E"/>
    <w:rsid w:val="00AF5751"/>
    <w:rsid w:val="00AF79EA"/>
    <w:rsid w:val="00B0255A"/>
    <w:rsid w:val="00B02949"/>
    <w:rsid w:val="00B07B06"/>
    <w:rsid w:val="00B205C7"/>
    <w:rsid w:val="00B23ABA"/>
    <w:rsid w:val="00B252CE"/>
    <w:rsid w:val="00B33518"/>
    <w:rsid w:val="00B34C0B"/>
    <w:rsid w:val="00B35E17"/>
    <w:rsid w:val="00B40279"/>
    <w:rsid w:val="00B40640"/>
    <w:rsid w:val="00B41923"/>
    <w:rsid w:val="00B43C9A"/>
    <w:rsid w:val="00B46498"/>
    <w:rsid w:val="00B46C6A"/>
    <w:rsid w:val="00B46EF7"/>
    <w:rsid w:val="00B60426"/>
    <w:rsid w:val="00B65C1D"/>
    <w:rsid w:val="00B72641"/>
    <w:rsid w:val="00B85A93"/>
    <w:rsid w:val="00B87739"/>
    <w:rsid w:val="00B87E49"/>
    <w:rsid w:val="00B911AD"/>
    <w:rsid w:val="00B92351"/>
    <w:rsid w:val="00BA04B1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6BAC"/>
    <w:rsid w:val="00BD7450"/>
    <w:rsid w:val="00BE28C1"/>
    <w:rsid w:val="00BE5A07"/>
    <w:rsid w:val="00BE7FBB"/>
    <w:rsid w:val="00BF5302"/>
    <w:rsid w:val="00C00079"/>
    <w:rsid w:val="00C02031"/>
    <w:rsid w:val="00C11908"/>
    <w:rsid w:val="00C11CEF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BDF"/>
    <w:rsid w:val="00C55709"/>
    <w:rsid w:val="00C7001D"/>
    <w:rsid w:val="00C8290A"/>
    <w:rsid w:val="00C83080"/>
    <w:rsid w:val="00C86484"/>
    <w:rsid w:val="00C86BF9"/>
    <w:rsid w:val="00C94DE5"/>
    <w:rsid w:val="00C958D4"/>
    <w:rsid w:val="00CB0C7C"/>
    <w:rsid w:val="00CB2C26"/>
    <w:rsid w:val="00CC1EAB"/>
    <w:rsid w:val="00CC4FBF"/>
    <w:rsid w:val="00CC6701"/>
    <w:rsid w:val="00CD4C93"/>
    <w:rsid w:val="00CE5778"/>
    <w:rsid w:val="00CE5D5C"/>
    <w:rsid w:val="00CE63C2"/>
    <w:rsid w:val="00CF590D"/>
    <w:rsid w:val="00D002DB"/>
    <w:rsid w:val="00D010E5"/>
    <w:rsid w:val="00D10208"/>
    <w:rsid w:val="00D11689"/>
    <w:rsid w:val="00D125FC"/>
    <w:rsid w:val="00D17B98"/>
    <w:rsid w:val="00D200F2"/>
    <w:rsid w:val="00D25DEA"/>
    <w:rsid w:val="00D3230A"/>
    <w:rsid w:val="00D34368"/>
    <w:rsid w:val="00D41902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AB2"/>
    <w:rsid w:val="00E264D7"/>
    <w:rsid w:val="00E26FF7"/>
    <w:rsid w:val="00E30D0A"/>
    <w:rsid w:val="00E31D58"/>
    <w:rsid w:val="00E32D1A"/>
    <w:rsid w:val="00E341EB"/>
    <w:rsid w:val="00E41099"/>
    <w:rsid w:val="00E412B5"/>
    <w:rsid w:val="00E4515A"/>
    <w:rsid w:val="00E51848"/>
    <w:rsid w:val="00E55DCC"/>
    <w:rsid w:val="00E566A4"/>
    <w:rsid w:val="00E619B0"/>
    <w:rsid w:val="00E66062"/>
    <w:rsid w:val="00E72CFD"/>
    <w:rsid w:val="00E737C8"/>
    <w:rsid w:val="00E81209"/>
    <w:rsid w:val="00E8252C"/>
    <w:rsid w:val="00E9003E"/>
    <w:rsid w:val="00E90B34"/>
    <w:rsid w:val="00E91232"/>
    <w:rsid w:val="00E96E23"/>
    <w:rsid w:val="00EA3B3F"/>
    <w:rsid w:val="00EA44BB"/>
    <w:rsid w:val="00EB74E5"/>
    <w:rsid w:val="00EC0A14"/>
    <w:rsid w:val="00EC2514"/>
    <w:rsid w:val="00EC4089"/>
    <w:rsid w:val="00ED272E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4B3D"/>
    <w:rsid w:val="00F754D4"/>
    <w:rsid w:val="00F755B3"/>
    <w:rsid w:val="00F86AC1"/>
    <w:rsid w:val="00F90610"/>
    <w:rsid w:val="00F923C3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E68B71B"/>
  <w15:docId w15:val="{A0074118-371A-D643-9E65-FAE2DE8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Fontdeparagrafimplici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8E5-8F4A-4B4E-8B6B-9D1923AB94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andreea_10mihaela@yahoo.com</cp:lastModifiedBy>
  <cp:revision>2</cp:revision>
  <cp:lastPrinted>2020-10-24T11:10:00Z</cp:lastPrinted>
  <dcterms:created xsi:type="dcterms:W3CDTF">2020-10-27T16:20:00Z</dcterms:created>
  <dcterms:modified xsi:type="dcterms:W3CDTF">2020-10-27T16:20:00Z</dcterms:modified>
</cp:coreProperties>
</file>