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EF7795" w:rsidRDefault="00EF779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503E1B" w:rsidRPr="007317C2" w:rsidRDefault="00503E1B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 w:rsidR="00F82BEE">
        <w:rPr>
          <w:rFonts w:eastAsia="Times New Roman"/>
          <w:b/>
          <w:lang w:val="ro-RO"/>
        </w:rPr>
        <w:t xml:space="preserve"> nr. 50</w:t>
      </w:r>
      <w:r w:rsidR="00503E1B">
        <w:rPr>
          <w:rFonts w:eastAsia="Times New Roman"/>
          <w:b/>
          <w:lang w:val="ro-RO"/>
        </w:rPr>
        <w:t>/02</w:t>
      </w:r>
      <w:r w:rsidRPr="006F49A5">
        <w:rPr>
          <w:rFonts w:eastAsia="Times New Roman"/>
          <w:b/>
          <w:lang w:val="ro-RO"/>
        </w:rPr>
        <w:t>.</w:t>
      </w:r>
      <w:r w:rsidR="00503E1B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503E1B">
        <w:rPr>
          <w:rFonts w:eastAsia="Times New Roman"/>
          <w:b/>
          <w:szCs w:val="28"/>
          <w:lang w:val="ro-RO"/>
        </w:rPr>
        <w:t>aprobarea scenariilor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503E1B">
        <w:rPr>
          <w:rFonts w:eastAsia="Times New Roman"/>
          <w:b/>
          <w:szCs w:val="28"/>
          <w:lang w:val="ro-RO"/>
        </w:rPr>
        <w:t>unele unități de învățământ din</w:t>
      </w:r>
      <w:r w:rsidR="009F3520">
        <w:rPr>
          <w:rFonts w:eastAsia="Times New Roman"/>
          <w:b/>
          <w:szCs w:val="28"/>
          <w:lang w:val="ro-RO"/>
        </w:rPr>
        <w:t xml:space="preserve"> 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503E1B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503E1B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2057/02.03</w:t>
      </w:r>
      <w:r w:rsidR="0023335C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>a sub nr. 2327/02.03</w:t>
      </w:r>
      <w:r w:rsidR="0023335C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57749B">
        <w:rPr>
          <w:szCs w:val="28"/>
          <w:lang w:val="ro-RO"/>
        </w:rPr>
        <w:t>4932</w:t>
      </w:r>
      <w:r w:rsidR="003625A3">
        <w:rPr>
          <w:szCs w:val="28"/>
          <w:lang w:val="ro-RO"/>
        </w:rPr>
        <w:t>/02.03</w:t>
      </w:r>
      <w:r w:rsidR="007A0E2B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3625A3">
        <w:rPr>
          <w:szCs w:val="28"/>
          <w:lang w:val="ro-RO"/>
        </w:rPr>
        <w:t xml:space="preserve">a sub nr. </w:t>
      </w:r>
      <w:r w:rsidR="0057749B">
        <w:rPr>
          <w:szCs w:val="28"/>
          <w:lang w:val="ro-RO"/>
        </w:rPr>
        <w:t>2337</w:t>
      </w:r>
      <w:r w:rsidR="003625A3">
        <w:rPr>
          <w:szCs w:val="28"/>
          <w:lang w:val="ro-RO"/>
        </w:rPr>
        <w:t>/02.03</w:t>
      </w:r>
      <w:r w:rsidR="007A0E2B">
        <w:rPr>
          <w:szCs w:val="28"/>
          <w:lang w:val="ro-RO"/>
        </w:rPr>
        <w:t>.2021</w:t>
      </w:r>
      <w:r w:rsidR="00675C67">
        <w:rPr>
          <w:szCs w:val="28"/>
          <w:lang w:val="ro-RO"/>
        </w:rPr>
        <w:t>;</w:t>
      </w:r>
    </w:p>
    <w:p w:rsidR="00675C67" w:rsidRPr="006F49A5" w:rsidRDefault="00675C67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Hotărârea</w:t>
      </w:r>
      <w:r w:rsidR="002F7CF9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C.J.S.U. nr. </w:t>
      </w:r>
      <w:r w:rsidR="003625A3">
        <w:rPr>
          <w:szCs w:val="28"/>
          <w:lang w:val="ro-RO"/>
        </w:rPr>
        <w:t>46/26</w:t>
      </w:r>
      <w:r w:rsidR="00A80C2C">
        <w:rPr>
          <w:szCs w:val="28"/>
          <w:lang w:val="ro-RO"/>
        </w:rPr>
        <w:t>.02.2021 privind aprobarea scenariilor de funcționare pentru unitățile de învățământ din județul D</w:t>
      </w:r>
      <w:r w:rsidR="003625A3">
        <w:rPr>
          <w:szCs w:val="28"/>
          <w:lang w:val="ro-RO"/>
        </w:rPr>
        <w:t>âmbovița, începând cu data de 01 martie</w:t>
      </w:r>
      <w:r w:rsidR="00A80C2C">
        <w:rPr>
          <w:szCs w:val="28"/>
          <w:lang w:val="ro-RO"/>
        </w:rPr>
        <w:t xml:space="preserve"> 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6C68AA">
        <w:rPr>
          <w:szCs w:val="28"/>
          <w:lang w:val="ro-RO"/>
        </w:rPr>
        <w:t>50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3625A3">
        <w:rPr>
          <w:szCs w:val="28"/>
          <w:lang w:val="ro-RO"/>
        </w:rPr>
        <w:t>02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Art. 1.</w:t>
      </w:r>
      <w:r w:rsidR="00BA1719">
        <w:rPr>
          <w:rFonts w:eastAsia="Times New Roman"/>
          <w:b/>
          <w:lang w:val="ro-RO"/>
        </w:rPr>
        <w:t xml:space="preserve"> </w:t>
      </w:r>
      <w:r w:rsidR="00BA1719">
        <w:rPr>
          <w:rFonts w:eastAsia="Times New Roman"/>
          <w:lang w:val="ro-RO"/>
        </w:rPr>
        <w:t>Începând cu data</w:t>
      </w:r>
      <w:r w:rsidR="00547B55">
        <w:rPr>
          <w:rFonts w:eastAsia="Times New Roman"/>
          <w:lang w:val="ro-RO"/>
        </w:rPr>
        <w:t xml:space="preserve"> de 02.03.2021 </w:t>
      </w:r>
      <w:r w:rsidR="003D53A2">
        <w:rPr>
          <w:rFonts w:eastAsia="Times New Roman"/>
          <w:lang w:val="ro-RO"/>
        </w:rPr>
        <w:t xml:space="preserve">se aprobă ca </w:t>
      </w:r>
      <w:r w:rsidR="00547B55">
        <w:rPr>
          <w:rFonts w:eastAsia="Times New Roman"/>
          <w:lang w:val="ro-RO"/>
        </w:rPr>
        <w:t>unitățile de învățământ prevăzute în Anexa 1</w:t>
      </w:r>
      <w:r w:rsidR="00577E64">
        <w:rPr>
          <w:rFonts w:eastAsia="Times New Roman"/>
          <w:b/>
          <w:lang w:val="ro-RO"/>
        </w:rPr>
        <w:t xml:space="preserve"> </w:t>
      </w:r>
      <w:r w:rsidR="001A76E3">
        <w:rPr>
          <w:rFonts w:eastAsia="Times New Roman"/>
          <w:lang w:val="ro-RO"/>
        </w:rPr>
        <w:t>să funcționeze</w:t>
      </w:r>
      <w:r w:rsidR="00531968">
        <w:rPr>
          <w:rFonts w:eastAsia="Times New Roman"/>
          <w:lang w:val="ro-RO"/>
        </w:rPr>
        <w:t xml:space="preserve"> </w:t>
      </w:r>
      <w:r w:rsidR="00547B55">
        <w:rPr>
          <w:rFonts w:eastAsia="Times New Roman"/>
          <w:b/>
          <w:lang w:val="ro-RO"/>
        </w:rPr>
        <w:t>în scenariul 2</w:t>
      </w:r>
      <w:r w:rsidR="00531968">
        <w:rPr>
          <w:rFonts w:eastAsia="Times New Roman"/>
          <w:b/>
          <w:lang w:val="ro-RO"/>
        </w:rPr>
        <w:t>.</w:t>
      </w:r>
    </w:p>
    <w:p w:rsidR="003D53A2" w:rsidRPr="00531968" w:rsidRDefault="003D53A2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Art. 2. </w:t>
      </w:r>
      <w:r>
        <w:rPr>
          <w:rFonts w:eastAsia="Times New Roman"/>
          <w:lang w:val="ro-RO"/>
        </w:rPr>
        <w:t xml:space="preserve">Începând cu data de 02.03.2021 se aprobă ca unitățile de învățământ prevăzute în Anexa </w:t>
      </w:r>
      <w:r w:rsidR="00E27F96">
        <w:rPr>
          <w:rFonts w:eastAsia="Times New Roman"/>
          <w:lang w:val="ro-RO"/>
        </w:rPr>
        <w:t>2</w:t>
      </w:r>
      <w:r>
        <w:rPr>
          <w:rFonts w:eastAsia="Times New Roman"/>
          <w:b/>
          <w:lang w:val="ro-RO"/>
        </w:rPr>
        <w:t xml:space="preserve"> </w:t>
      </w:r>
      <w:r w:rsidR="001A76E3">
        <w:rPr>
          <w:rFonts w:eastAsia="Times New Roman"/>
          <w:lang w:val="ro-RO"/>
        </w:rPr>
        <w:t xml:space="preserve">să funcționeze </w:t>
      </w:r>
      <w:r>
        <w:rPr>
          <w:rFonts w:eastAsia="Times New Roman"/>
          <w:b/>
          <w:lang w:val="ro-RO"/>
        </w:rPr>
        <w:t>în scenariul 3.</w:t>
      </w:r>
    </w:p>
    <w:p w:rsidR="003910A7" w:rsidRPr="00FE4BDB" w:rsidRDefault="003D53A2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>Art. 3</w:t>
      </w:r>
      <w:r w:rsidR="003910A7">
        <w:rPr>
          <w:rFonts w:eastAsia="Times New Roman"/>
          <w:b/>
          <w:lang w:val="ro-RO"/>
        </w:rPr>
        <w:t xml:space="preserve">. </w:t>
      </w:r>
      <w:r w:rsidR="00FE4BDB">
        <w:rPr>
          <w:rFonts w:eastAsia="Times New Roman"/>
          <w:lang w:val="ro-RO"/>
        </w:rPr>
        <w:t>Hotărârea C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J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S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U</w:t>
      </w:r>
      <w:r w:rsidR="003E7006">
        <w:rPr>
          <w:rFonts w:eastAsia="Times New Roman"/>
          <w:lang w:val="ro-RO"/>
        </w:rPr>
        <w:t>.</w:t>
      </w:r>
      <w:r>
        <w:rPr>
          <w:rFonts w:eastAsia="Times New Roman"/>
          <w:lang w:val="ro-RO"/>
        </w:rPr>
        <w:t xml:space="preserve"> nr. 46/26</w:t>
      </w:r>
      <w:r w:rsidR="00FE4BDB">
        <w:rPr>
          <w:rFonts w:eastAsia="Times New Roman"/>
          <w:lang w:val="ro-RO"/>
        </w:rPr>
        <w:t>.02.2021 se modifică în mod corespunzător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D662E1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Dâmboviţa, pre</w:t>
      </w:r>
      <w:r w:rsidR="000A69BB">
        <w:rPr>
          <w:rFonts w:eastAsia="Times New Roman"/>
          <w:lang w:val="ro-RO"/>
        </w:rPr>
        <w:t xml:space="preserve">cum şi </w:t>
      </w:r>
      <w:r w:rsidR="009C4849">
        <w:rPr>
          <w:rFonts w:eastAsia="Times New Roman"/>
          <w:lang w:val="ro-RO"/>
        </w:rPr>
        <w:t>primarilor, în calitate de preşedinți ai Comitetelor</w:t>
      </w:r>
      <w:r>
        <w:rPr>
          <w:rFonts w:eastAsia="Times New Roman"/>
          <w:lang w:val="ro-RO"/>
        </w:rPr>
        <w:t xml:space="preserve"> </w:t>
      </w:r>
      <w:r w:rsidRPr="00E176D2">
        <w:rPr>
          <w:rFonts w:eastAsia="Times New Roman"/>
          <w:lang w:val="ro-RO"/>
        </w:rPr>
        <w:t>Local</w:t>
      </w:r>
      <w:r w:rsidR="009C4849">
        <w:rPr>
          <w:rFonts w:eastAsia="Times New Roman"/>
          <w:lang w:val="ro-RO"/>
        </w:rPr>
        <w:t xml:space="preserve">e </w:t>
      </w:r>
      <w:r>
        <w:rPr>
          <w:rFonts w:eastAsia="Times New Roman"/>
          <w:lang w:val="ro-RO"/>
        </w:rPr>
        <w:t>pentru Situaţii de Urgenţ</w:t>
      </w:r>
      <w:r w:rsidRPr="00E176D2">
        <w:rPr>
          <w:rFonts w:eastAsia="Times New Roman"/>
          <w:lang w:val="ro-RO"/>
        </w:rPr>
        <w:t>ă</w:t>
      </w:r>
      <w:r w:rsidR="009C4849">
        <w:rPr>
          <w:rFonts w:eastAsia="Times New Roman"/>
          <w:lang w:val="ro-RO"/>
        </w:rPr>
        <w:t xml:space="preserve"> din următoarele unități administrativ-teritoriale: </w:t>
      </w:r>
      <w:r w:rsidR="009C4849">
        <w:rPr>
          <w:rFonts w:eastAsia="Times New Roman"/>
          <w:b/>
          <w:lang w:val="ro-RO"/>
        </w:rPr>
        <w:t>Fieni, Odobești, Valea Mare, Vulcana-Pandele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9F0708" w:rsidRDefault="009F0708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</w:t>
      </w:r>
      <w:r w:rsidR="00F82BEE">
        <w:rPr>
          <w:b/>
          <w:lang w:val="ro-RO"/>
        </w:rPr>
        <w:t>exa nr. 1 la Hotărârea nr. 50</w:t>
      </w:r>
      <w:r>
        <w:rPr>
          <w:b/>
          <w:lang w:val="ro-RO"/>
        </w:rPr>
        <w:t>/02.03.2021</w:t>
      </w:r>
    </w:p>
    <w:p w:rsidR="006A1C3E" w:rsidRDefault="006A1C3E" w:rsidP="006A1C3E">
      <w:pPr>
        <w:jc w:val="right"/>
        <w:rPr>
          <w:b/>
          <w:lang w:val="ro-RO"/>
        </w:rPr>
      </w:pPr>
    </w:p>
    <w:tbl>
      <w:tblPr>
        <w:tblW w:w="9705" w:type="dxa"/>
        <w:jc w:val="center"/>
        <w:tblInd w:w="-1245" w:type="dxa"/>
        <w:tblLook w:val="04A0"/>
      </w:tblPr>
      <w:tblGrid>
        <w:gridCol w:w="530"/>
        <w:gridCol w:w="8059"/>
        <w:gridCol w:w="1116"/>
      </w:tblGrid>
      <w:tr w:rsidR="006A1C3E" w:rsidRPr="00050C4C" w:rsidTr="006A1C3E">
        <w:trPr>
          <w:trHeight w:val="49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unitate de învățământ arondată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Scenariul</w:t>
            </w: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br/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PRELUNGIT ”DUMBRAVA MINUNATĂ” FIENI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794634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946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LICEUL ”AUREL RAINU” FIENI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794634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946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”DIACONU CORESI” FIENI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794634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79463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CROVU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CROVU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MIULEȘTI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PRIMARĂ MIULEȘTI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NR.1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NR.2 CĂMINE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ZIDURILE ODOBEȘTI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VALEA MARE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13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CASELOR VALEA MARE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  <w:tr w:rsidR="006A1C3E" w:rsidRPr="00050C4C" w:rsidTr="006A1C3E">
        <w:trPr>
          <w:trHeight w:val="288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8F34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8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VALEA MARE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1C3E" w:rsidRPr="00050C4C" w:rsidRDefault="006A1C3E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</w:tr>
    </w:tbl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</w:p>
    <w:p w:rsidR="009F0708" w:rsidRDefault="009F0708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</w:t>
      </w:r>
      <w:r w:rsidR="00F82BEE">
        <w:rPr>
          <w:b/>
          <w:lang w:val="ro-RO"/>
        </w:rPr>
        <w:t>exa nr. 2 la Hotărârea nr. 50</w:t>
      </w:r>
      <w:r>
        <w:rPr>
          <w:b/>
          <w:lang w:val="ro-RO"/>
        </w:rPr>
        <w:t>/02.03.2021</w:t>
      </w:r>
    </w:p>
    <w:p w:rsidR="006A1C3E" w:rsidRDefault="006A1C3E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tbl>
      <w:tblPr>
        <w:tblW w:w="9489" w:type="dxa"/>
        <w:jc w:val="center"/>
        <w:tblInd w:w="-1029" w:type="dxa"/>
        <w:tblLook w:val="04A0"/>
      </w:tblPr>
      <w:tblGrid>
        <w:gridCol w:w="564"/>
        <w:gridCol w:w="7501"/>
        <w:gridCol w:w="1424"/>
      </w:tblGrid>
      <w:tr w:rsidR="008D01EC" w:rsidRPr="00050C4C" w:rsidTr="00F959CA">
        <w:trPr>
          <w:trHeight w:val="4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Denumire unitate de învățământ arondată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t>Scenariul</w:t>
            </w:r>
            <w:r w:rsidRPr="00050C4C">
              <w:rPr>
                <w:rFonts w:eastAsia="Times New Roman" w:cs="Calibri"/>
                <w:b/>
                <w:bCs/>
                <w:sz w:val="20"/>
                <w:szCs w:val="20"/>
                <w:lang w:val="ro-RO"/>
              </w:rPr>
              <w:br/>
            </w:r>
          </w:p>
        </w:tc>
      </w:tr>
      <w:tr w:rsidR="008D01EC" w:rsidRPr="00050C4C" w:rsidTr="00F959CA">
        <w:trPr>
          <w:trHeight w:val="28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8D01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ȘCOALA GIMNAZIALĂ VULCANA PANDELE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D01EC" w:rsidRPr="00050C4C" w:rsidTr="00F959CA">
        <w:trPr>
          <w:trHeight w:val="28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8D01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GURA VULCANEI VULCANA PANDELE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  <w:tr w:rsidR="008D01EC" w:rsidRPr="00050C4C" w:rsidTr="00F959CA">
        <w:trPr>
          <w:trHeight w:val="288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8D01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color w:val="000000"/>
                <w:sz w:val="20"/>
                <w:szCs w:val="20"/>
                <w:lang w:val="ro-RO"/>
              </w:rPr>
              <w:t>GRĂDINIȚA CU PROGRAM NORMAL VULCANA PANDELE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01EC" w:rsidRPr="00050C4C" w:rsidRDefault="008D01EC" w:rsidP="00924A9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50C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</w:tr>
    </w:tbl>
    <w:p w:rsidR="008D01EC" w:rsidRDefault="008D01EC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sectPr w:rsidR="006A1C3E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14" w:rsidRDefault="00542E14" w:rsidP="00E602D5">
      <w:pPr>
        <w:spacing w:after="0" w:line="240" w:lineRule="auto"/>
      </w:pPr>
      <w:r>
        <w:separator/>
      </w:r>
    </w:p>
  </w:endnote>
  <w:endnote w:type="continuationSeparator" w:id="1">
    <w:p w:rsidR="00542E14" w:rsidRDefault="00542E14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675C67" w:rsidRDefault="00C73F9D">
        <w:pPr>
          <w:pStyle w:val="Footer"/>
          <w:jc w:val="center"/>
        </w:pPr>
        <w:fldSimple w:instr=" PAGE   \* MERGEFORMAT ">
          <w:r w:rsidR="004635C8">
            <w:rPr>
              <w:noProof/>
            </w:rPr>
            <w:t>4</w:t>
          </w:r>
        </w:fldSimple>
      </w:p>
    </w:sdtContent>
  </w:sdt>
  <w:p w:rsidR="00675C67" w:rsidRDefault="00675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Default="00675C67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C73F9D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C73F9D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73F9D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C73F9D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C73F9D" w:rsidRPr="00472082">
      <w:rPr>
        <w:b/>
        <w:sz w:val="20"/>
        <w:szCs w:val="20"/>
      </w:rPr>
      <w:fldChar w:fldCharType="separate"/>
    </w:r>
    <w:r w:rsidR="004635C8">
      <w:rPr>
        <w:b/>
        <w:noProof/>
        <w:sz w:val="20"/>
        <w:szCs w:val="20"/>
      </w:rPr>
      <w:t>4</w:t>
    </w:r>
    <w:r w:rsidR="00C73F9D" w:rsidRPr="00472082">
      <w:rPr>
        <w:b/>
        <w:sz w:val="20"/>
        <w:szCs w:val="20"/>
      </w:rPr>
      <w:fldChar w:fldCharType="end"/>
    </w:r>
  </w:p>
  <w:p w:rsidR="00675C67" w:rsidRPr="008F0807" w:rsidRDefault="00675C67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14" w:rsidRDefault="00542E14" w:rsidP="00E602D5">
      <w:pPr>
        <w:spacing w:after="0" w:line="240" w:lineRule="auto"/>
      </w:pPr>
      <w:r>
        <w:separator/>
      </w:r>
    </w:p>
  </w:footnote>
  <w:footnote w:type="continuationSeparator" w:id="1">
    <w:p w:rsidR="00542E14" w:rsidRDefault="00542E14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Pr="009F44AB" w:rsidRDefault="00675C67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75C67" w:rsidRPr="009F44AB" w:rsidRDefault="00675C67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75C67" w:rsidRPr="00407AEE" w:rsidTr="00911CB2">
      <w:tc>
        <w:tcPr>
          <w:tcW w:w="5953" w:type="dxa"/>
        </w:tcPr>
        <w:p w:rsidR="00675C67" w:rsidRPr="00407AEE" w:rsidRDefault="00675C67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75C67" w:rsidRPr="00407AEE" w:rsidRDefault="00675C67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75C67" w:rsidRPr="00407AEE" w:rsidRDefault="00675C67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75C67" w:rsidRDefault="00675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459AB"/>
    <w:rsid w:val="00045D3B"/>
    <w:rsid w:val="00082FF7"/>
    <w:rsid w:val="000A4A3C"/>
    <w:rsid w:val="000A69BB"/>
    <w:rsid w:val="000C488D"/>
    <w:rsid w:val="001064E9"/>
    <w:rsid w:val="00117570"/>
    <w:rsid w:val="001308AE"/>
    <w:rsid w:val="0013779A"/>
    <w:rsid w:val="001514CD"/>
    <w:rsid w:val="001668F3"/>
    <w:rsid w:val="0018680B"/>
    <w:rsid w:val="00193325"/>
    <w:rsid w:val="001A76E3"/>
    <w:rsid w:val="001F101C"/>
    <w:rsid w:val="001F4744"/>
    <w:rsid w:val="00203651"/>
    <w:rsid w:val="00204A8C"/>
    <w:rsid w:val="0020638C"/>
    <w:rsid w:val="00207F52"/>
    <w:rsid w:val="002112E1"/>
    <w:rsid w:val="002321F4"/>
    <w:rsid w:val="0023335C"/>
    <w:rsid w:val="002665B0"/>
    <w:rsid w:val="0029690A"/>
    <w:rsid w:val="002977CA"/>
    <w:rsid w:val="002A3A43"/>
    <w:rsid w:val="002E189E"/>
    <w:rsid w:val="002E7A5F"/>
    <w:rsid w:val="002F7CF9"/>
    <w:rsid w:val="003625A3"/>
    <w:rsid w:val="003772B8"/>
    <w:rsid w:val="003827DE"/>
    <w:rsid w:val="003910A7"/>
    <w:rsid w:val="003975B0"/>
    <w:rsid w:val="003A3C51"/>
    <w:rsid w:val="003B4BC5"/>
    <w:rsid w:val="003D53A2"/>
    <w:rsid w:val="003E7006"/>
    <w:rsid w:val="004121C5"/>
    <w:rsid w:val="004446C0"/>
    <w:rsid w:val="0044525A"/>
    <w:rsid w:val="004635C8"/>
    <w:rsid w:val="0049240F"/>
    <w:rsid w:val="004D7820"/>
    <w:rsid w:val="004E672A"/>
    <w:rsid w:val="00503E1B"/>
    <w:rsid w:val="005054FD"/>
    <w:rsid w:val="00530059"/>
    <w:rsid w:val="00531968"/>
    <w:rsid w:val="00542E14"/>
    <w:rsid w:val="00543D72"/>
    <w:rsid w:val="00545E62"/>
    <w:rsid w:val="00547B55"/>
    <w:rsid w:val="00552593"/>
    <w:rsid w:val="00555AA9"/>
    <w:rsid w:val="00575D17"/>
    <w:rsid w:val="0057749B"/>
    <w:rsid w:val="00577E64"/>
    <w:rsid w:val="00584297"/>
    <w:rsid w:val="005C5875"/>
    <w:rsid w:val="005E197C"/>
    <w:rsid w:val="00630B3B"/>
    <w:rsid w:val="0066001F"/>
    <w:rsid w:val="00675C67"/>
    <w:rsid w:val="006A1A38"/>
    <w:rsid w:val="006A1C3E"/>
    <w:rsid w:val="006C6087"/>
    <w:rsid w:val="006C68AA"/>
    <w:rsid w:val="006E6B7E"/>
    <w:rsid w:val="00704819"/>
    <w:rsid w:val="00711FBD"/>
    <w:rsid w:val="00743664"/>
    <w:rsid w:val="007548B8"/>
    <w:rsid w:val="00760401"/>
    <w:rsid w:val="007844A1"/>
    <w:rsid w:val="00785A4F"/>
    <w:rsid w:val="00794634"/>
    <w:rsid w:val="007A054E"/>
    <w:rsid w:val="007A0E2B"/>
    <w:rsid w:val="007A5DB7"/>
    <w:rsid w:val="007B6156"/>
    <w:rsid w:val="007E77FE"/>
    <w:rsid w:val="008034D0"/>
    <w:rsid w:val="00831C40"/>
    <w:rsid w:val="00833EA1"/>
    <w:rsid w:val="008355A3"/>
    <w:rsid w:val="00850244"/>
    <w:rsid w:val="00877B45"/>
    <w:rsid w:val="008875E5"/>
    <w:rsid w:val="008B68EC"/>
    <w:rsid w:val="008C2367"/>
    <w:rsid w:val="008D01EC"/>
    <w:rsid w:val="008E6AAE"/>
    <w:rsid w:val="008E6DB5"/>
    <w:rsid w:val="008F3455"/>
    <w:rsid w:val="008F6DFC"/>
    <w:rsid w:val="00911CB2"/>
    <w:rsid w:val="009173DC"/>
    <w:rsid w:val="00960328"/>
    <w:rsid w:val="00973D76"/>
    <w:rsid w:val="009A5A48"/>
    <w:rsid w:val="009C4849"/>
    <w:rsid w:val="009F0708"/>
    <w:rsid w:val="009F3520"/>
    <w:rsid w:val="00A071DF"/>
    <w:rsid w:val="00A25897"/>
    <w:rsid w:val="00A80C2C"/>
    <w:rsid w:val="00A86EB5"/>
    <w:rsid w:val="00A9663E"/>
    <w:rsid w:val="00AA0A80"/>
    <w:rsid w:val="00AB113A"/>
    <w:rsid w:val="00AB5F5B"/>
    <w:rsid w:val="00AD2AF9"/>
    <w:rsid w:val="00AF0A57"/>
    <w:rsid w:val="00B12C03"/>
    <w:rsid w:val="00B171C0"/>
    <w:rsid w:val="00B34FF4"/>
    <w:rsid w:val="00B5475C"/>
    <w:rsid w:val="00B71001"/>
    <w:rsid w:val="00BA1719"/>
    <w:rsid w:val="00BD0C89"/>
    <w:rsid w:val="00BD2EBD"/>
    <w:rsid w:val="00BD6785"/>
    <w:rsid w:val="00BF6EBB"/>
    <w:rsid w:val="00C105C4"/>
    <w:rsid w:val="00C16CB2"/>
    <w:rsid w:val="00C24C1A"/>
    <w:rsid w:val="00C451E3"/>
    <w:rsid w:val="00C729CC"/>
    <w:rsid w:val="00C73F9D"/>
    <w:rsid w:val="00CA3056"/>
    <w:rsid w:val="00D02C84"/>
    <w:rsid w:val="00D4156B"/>
    <w:rsid w:val="00D47CDC"/>
    <w:rsid w:val="00D662E1"/>
    <w:rsid w:val="00D90147"/>
    <w:rsid w:val="00DA3893"/>
    <w:rsid w:val="00DA3896"/>
    <w:rsid w:val="00DA60FA"/>
    <w:rsid w:val="00DA75F5"/>
    <w:rsid w:val="00DB6D60"/>
    <w:rsid w:val="00DE4D2F"/>
    <w:rsid w:val="00E27F96"/>
    <w:rsid w:val="00E53FD9"/>
    <w:rsid w:val="00E57197"/>
    <w:rsid w:val="00E602D5"/>
    <w:rsid w:val="00E71CBC"/>
    <w:rsid w:val="00E82EFC"/>
    <w:rsid w:val="00E85386"/>
    <w:rsid w:val="00EB0499"/>
    <w:rsid w:val="00EB249A"/>
    <w:rsid w:val="00EB60F7"/>
    <w:rsid w:val="00EC79F7"/>
    <w:rsid w:val="00ED3342"/>
    <w:rsid w:val="00EF5B16"/>
    <w:rsid w:val="00EF7795"/>
    <w:rsid w:val="00F0092B"/>
    <w:rsid w:val="00F12E13"/>
    <w:rsid w:val="00F31680"/>
    <w:rsid w:val="00F32C7F"/>
    <w:rsid w:val="00F36833"/>
    <w:rsid w:val="00F67252"/>
    <w:rsid w:val="00F82BEE"/>
    <w:rsid w:val="00F959CA"/>
    <w:rsid w:val="00FB5AC1"/>
    <w:rsid w:val="00FD26DA"/>
    <w:rsid w:val="00FD5EEB"/>
    <w:rsid w:val="00FD66F4"/>
    <w:rsid w:val="00F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81D-C067-4A58-8C01-0766DE3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563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118</cp:revision>
  <cp:lastPrinted>2021-03-02T13:13:00Z</cp:lastPrinted>
  <dcterms:created xsi:type="dcterms:W3CDTF">2021-02-05T12:03:00Z</dcterms:created>
  <dcterms:modified xsi:type="dcterms:W3CDTF">2021-03-02T13:15:00Z</dcterms:modified>
</cp:coreProperties>
</file>