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6E7E" w:rsidRPr="00E176D2" w:rsidRDefault="001444FB" w:rsidP="001444FB">
      <w:pPr>
        <w:tabs>
          <w:tab w:val="left" w:pos="0"/>
          <w:tab w:val="left" w:pos="8190"/>
          <w:tab w:val="left" w:pos="8799"/>
        </w:tabs>
        <w:spacing w:after="0" w:line="276" w:lineRule="auto"/>
        <w:jc w:val="right"/>
        <w:rPr>
          <w:rFonts w:eastAsia="Times New Roman"/>
          <w:b/>
          <w:i/>
          <w:lang w:val="ro-RO"/>
        </w:rPr>
      </w:pPr>
      <w:r>
        <w:rPr>
          <w:rFonts w:eastAsia="Times New Roman"/>
          <w:b/>
          <w:i/>
          <w:color w:val="FF0000"/>
          <w:lang w:val="ro-RO"/>
        </w:rPr>
        <w:t xml:space="preserve">                                                                                                             </w:t>
      </w:r>
      <w:r w:rsidR="009F6E7E">
        <w:rPr>
          <w:rFonts w:eastAsia="Times New Roman"/>
          <w:b/>
          <w:i/>
          <w:color w:val="FF0000"/>
          <w:lang w:val="ro-RO"/>
        </w:rPr>
        <w:tab/>
      </w:r>
      <w:r w:rsidR="009F6E7E" w:rsidRPr="00E176D2">
        <w:rPr>
          <w:rFonts w:eastAsia="Times New Roman"/>
          <w:b/>
          <w:i/>
          <w:lang w:val="ro-RO"/>
        </w:rPr>
        <w:tab/>
      </w:r>
    </w:p>
    <w:p w:rsidR="009F6E7E" w:rsidRPr="006F49A5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9</w:t>
      </w:r>
      <w:r w:rsidR="001444FB">
        <w:rPr>
          <w:rFonts w:eastAsia="Times New Roman"/>
          <w:b/>
          <w:lang w:val="ro-RO"/>
        </w:rPr>
        <w:t>4</w:t>
      </w:r>
      <w:r w:rsidRPr="006F49A5">
        <w:rPr>
          <w:rFonts w:eastAsia="Times New Roman"/>
          <w:b/>
          <w:lang w:val="ro-RO"/>
        </w:rPr>
        <w:t>/</w:t>
      </w:r>
      <w:r>
        <w:rPr>
          <w:rFonts w:eastAsia="Times New Roman"/>
          <w:b/>
          <w:lang w:val="ro-RO"/>
        </w:rPr>
        <w:t>0</w:t>
      </w:r>
      <w:r w:rsidR="001444FB">
        <w:rPr>
          <w:rFonts w:eastAsia="Times New Roman"/>
          <w:b/>
          <w:lang w:val="ro-RO"/>
        </w:rPr>
        <w:t>4</w:t>
      </w:r>
      <w:r>
        <w:rPr>
          <w:rFonts w:eastAsia="Times New Roman"/>
          <w:b/>
          <w:lang w:val="ro-RO"/>
        </w:rPr>
        <w:t>.04.2021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>privind constatarea încadrării în limitele incidenței cumulate la 14 zile în unele unităţi administrativ-teritoriale din judeţul Dâmboviţa</w:t>
      </w:r>
    </w:p>
    <w:p w:rsidR="009F6E7E" w:rsidRDefault="009F6E7E" w:rsidP="009F6E7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9F6E7E" w:rsidRPr="003D1A91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b/>
          <w:szCs w:val="28"/>
          <w:lang w:val="ro-RO"/>
        </w:rPr>
      </w:pPr>
      <w:r>
        <w:rPr>
          <w:rFonts w:eastAsia="Times New Roman"/>
          <w:szCs w:val="28"/>
          <w:lang w:val="ro-RO"/>
        </w:rPr>
        <w:tab/>
      </w:r>
      <w:r w:rsidRPr="003D1A91">
        <w:rPr>
          <w:rFonts w:eastAsia="Times New Roman"/>
          <w:b/>
          <w:szCs w:val="28"/>
          <w:lang w:val="ro-RO"/>
        </w:rPr>
        <w:t xml:space="preserve">Comitetul Județean pentru </w:t>
      </w:r>
      <w:r w:rsidRPr="003D1A91">
        <w:rPr>
          <w:b/>
          <w:szCs w:val="28"/>
          <w:lang w:val="ro-RO"/>
        </w:rPr>
        <w:t>Situaţii de Urgenţă</w:t>
      </w:r>
      <w:r>
        <w:rPr>
          <w:b/>
          <w:szCs w:val="28"/>
          <w:lang w:val="ro-RO"/>
        </w:rPr>
        <w:t xml:space="preserve"> Dâmbovița</w:t>
      </w:r>
    </w:p>
    <w:p w:rsidR="009F6E7E" w:rsidRPr="003D1A91" w:rsidRDefault="009F6E7E" w:rsidP="009F6E7E">
      <w:pPr>
        <w:tabs>
          <w:tab w:val="left" w:pos="0"/>
        </w:tabs>
        <w:autoSpaceDE w:val="0"/>
        <w:autoSpaceDN w:val="0"/>
        <w:adjustRightInd w:val="0"/>
        <w:spacing w:after="0" w:line="276" w:lineRule="auto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ab/>
      </w:r>
      <w:r w:rsidRPr="006F49A5">
        <w:rPr>
          <w:rFonts w:eastAsia="Times New Roman"/>
          <w:szCs w:val="28"/>
          <w:lang w:val="ro-RO"/>
        </w:rPr>
        <w:t>Având în vedere:</w:t>
      </w:r>
    </w:p>
    <w:p w:rsidR="009F6E7E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prevederile </w:t>
      </w:r>
      <w:r w:rsidRPr="006F49A5">
        <w:rPr>
          <w:szCs w:val="28"/>
          <w:lang w:val="ro-RO"/>
        </w:rPr>
        <w:t>H.G. nr.</w:t>
      </w:r>
      <w:r>
        <w:rPr>
          <w:szCs w:val="28"/>
          <w:lang w:val="ro-RO"/>
        </w:rPr>
        <w:t xml:space="preserve"> 293</w:t>
      </w:r>
      <w:r w:rsidRPr="006F49A5">
        <w:rPr>
          <w:szCs w:val="28"/>
          <w:lang w:val="ro-RO"/>
        </w:rPr>
        <w:t>/1</w:t>
      </w:r>
      <w:r>
        <w:rPr>
          <w:szCs w:val="28"/>
          <w:lang w:val="ro-RO"/>
        </w:rPr>
        <w:t>0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>03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 xml:space="preserve">privind prelungirea stării de alertă pe teritoriul României începând cu data de </w:t>
      </w:r>
      <w:r>
        <w:rPr>
          <w:szCs w:val="28"/>
          <w:lang w:val="ro-RO"/>
        </w:rPr>
        <w:t>14 martie 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506FFA">
        <w:rPr>
          <w:szCs w:val="28"/>
          <w:lang w:val="ro-RO"/>
        </w:rPr>
        <w:t xml:space="preserve">, </w:t>
      </w:r>
      <w:r>
        <w:rPr>
          <w:szCs w:val="28"/>
          <w:lang w:val="ro-RO"/>
        </w:rPr>
        <w:t>modificată și completată prin H.G. nr. 348/25.03.2021</w:t>
      </w:r>
      <w:r w:rsidRPr="006F49A5">
        <w:rPr>
          <w:szCs w:val="28"/>
          <w:lang w:val="ro-RO"/>
        </w:rPr>
        <w:t>;</w:t>
      </w:r>
    </w:p>
    <w:p w:rsidR="009F6E7E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</w:t>
      </w:r>
      <w:r w:rsidRPr="006F49A5">
        <w:rPr>
          <w:szCs w:val="28"/>
          <w:lang w:val="ro-RO"/>
        </w:rPr>
        <w:t>Direcţiei de Sănătate Publică Dâmboviţa,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Dâmboviţa sub nr. </w:t>
      </w:r>
      <w:r>
        <w:rPr>
          <w:szCs w:val="28"/>
          <w:lang w:val="ro-RO"/>
        </w:rPr>
        <w:t>3</w:t>
      </w:r>
      <w:r w:rsidR="001444FB">
        <w:rPr>
          <w:szCs w:val="28"/>
          <w:lang w:val="ro-RO"/>
        </w:rPr>
        <w:t>543</w:t>
      </w:r>
      <w:r>
        <w:rPr>
          <w:szCs w:val="28"/>
          <w:lang w:val="ro-RO"/>
        </w:rPr>
        <w:t xml:space="preserve">/02.04.2021, </w:t>
      </w:r>
      <w:r w:rsidRPr="006F49A5">
        <w:rPr>
          <w:szCs w:val="28"/>
          <w:lang w:val="ro-RO"/>
        </w:rPr>
        <w:t xml:space="preserve">prin care sunt comunicate </w:t>
      </w:r>
      <w:r>
        <w:rPr>
          <w:szCs w:val="28"/>
          <w:lang w:val="ro-RO"/>
        </w:rPr>
        <w:t xml:space="preserve">ratele de </w:t>
      </w:r>
      <w:r w:rsidRPr="006F49A5">
        <w:rPr>
          <w:szCs w:val="28"/>
          <w:lang w:val="ro-RO"/>
        </w:rPr>
        <w:t xml:space="preserve">incidenţă cumulată </w:t>
      </w:r>
      <w:r>
        <w:rPr>
          <w:szCs w:val="28"/>
          <w:lang w:val="ro-RO"/>
        </w:rPr>
        <w:t>la</w:t>
      </w:r>
      <w:r w:rsidRPr="006F49A5">
        <w:rPr>
          <w:szCs w:val="28"/>
          <w:lang w:val="ro-RO"/>
        </w:rPr>
        <w:t xml:space="preserve"> 14 zile;</w:t>
      </w:r>
    </w:p>
    <w:p w:rsidR="009F6E7E" w:rsidRPr="006F49A5" w:rsidRDefault="009F6E7E" w:rsidP="009F6E7E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>
        <w:rPr>
          <w:szCs w:val="28"/>
          <w:lang w:val="ro-RO"/>
        </w:rPr>
        <w:t>9</w:t>
      </w:r>
      <w:r w:rsidR="001444FB">
        <w:rPr>
          <w:szCs w:val="28"/>
          <w:lang w:val="ro-RO"/>
        </w:rPr>
        <w:t>4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>
        <w:rPr>
          <w:szCs w:val="28"/>
          <w:lang w:val="ro-RO"/>
        </w:rPr>
        <w:t>0</w:t>
      </w:r>
      <w:r w:rsidR="001444FB">
        <w:rPr>
          <w:szCs w:val="28"/>
          <w:lang w:val="ro-RO"/>
        </w:rPr>
        <w:t>4</w:t>
      </w:r>
      <w:r>
        <w:rPr>
          <w:szCs w:val="28"/>
          <w:lang w:val="ro-RO"/>
        </w:rPr>
        <w:t xml:space="preserve"> aprilie 2021</w:t>
      </w:r>
      <w:r w:rsidRPr="006F49A5">
        <w:rPr>
          <w:szCs w:val="28"/>
          <w:lang w:val="ro-RO"/>
        </w:rPr>
        <w:t>,</w:t>
      </w:r>
    </w:p>
    <w:p w:rsidR="009F6E7E" w:rsidRPr="009F6E7E" w:rsidRDefault="009F6E7E" w:rsidP="009F6E7E">
      <w:pPr>
        <w:tabs>
          <w:tab w:val="left" w:pos="0"/>
        </w:tabs>
        <w:spacing w:after="0" w:line="276" w:lineRule="auto"/>
        <w:jc w:val="both"/>
        <w:rPr>
          <w:rFonts w:eastAsia="Times New Roman"/>
          <w:b/>
          <w:lang w:val="ro-RO"/>
        </w:rPr>
      </w:pPr>
      <w:r>
        <w:rPr>
          <w:rFonts w:eastAsia="Times New Roman"/>
          <w:szCs w:val="28"/>
          <w:lang w:val="ro-RO"/>
        </w:rPr>
        <w:tab/>
      </w: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  <w:r>
        <w:rPr>
          <w:szCs w:val="28"/>
          <w:lang w:val="ro-RO"/>
        </w:rPr>
        <w:t xml:space="preserve">, </w:t>
      </w:r>
      <w:r w:rsidRPr="006F49A5">
        <w:rPr>
          <w:rFonts w:eastAsia="Times New Roman"/>
          <w:b/>
          <w:lang w:val="ro-RO"/>
        </w:rPr>
        <w:t>adoptă prezenta</w:t>
      </w:r>
    </w:p>
    <w:p w:rsidR="009F6E7E" w:rsidRPr="006F49A5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9F6E7E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F6E7E" w:rsidRPr="006F49A5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9F6E7E" w:rsidRDefault="009F6E7E" w:rsidP="009F6E7E">
      <w:pPr>
        <w:spacing w:after="0" w:line="276" w:lineRule="auto"/>
        <w:ind w:firstLine="709"/>
        <w:jc w:val="both"/>
        <w:rPr>
          <w:b/>
          <w:color w:val="000000"/>
          <w:szCs w:val="28"/>
          <w:lang w:val="ro-RO"/>
        </w:rPr>
      </w:pPr>
      <w:r>
        <w:rPr>
          <w:b/>
          <w:bCs/>
          <w:szCs w:val="28"/>
          <w:lang w:val="ro-RO"/>
        </w:rPr>
        <w:t xml:space="preserve">Art.1. (1) </w:t>
      </w:r>
      <w:r>
        <w:rPr>
          <w:szCs w:val="28"/>
          <w:lang w:val="ro-RO"/>
        </w:rPr>
        <w:t xml:space="preserve">Se constată </w:t>
      </w:r>
      <w:r w:rsidR="001444FB">
        <w:rPr>
          <w:szCs w:val="28"/>
          <w:lang w:val="ro-RO"/>
        </w:rPr>
        <w:t>scăderea</w:t>
      </w:r>
      <w:r>
        <w:rPr>
          <w:szCs w:val="28"/>
          <w:lang w:val="ro-RO"/>
        </w:rPr>
        <w:t xml:space="preserve"> incidenței cumulate la 14 zile, </w:t>
      </w:r>
      <w:r w:rsidR="001444FB">
        <w:rPr>
          <w:b/>
          <w:szCs w:val="28"/>
          <w:u w:val="single"/>
          <w:lang w:val="ro-RO"/>
        </w:rPr>
        <w:t>sub</w:t>
      </w:r>
      <w:r w:rsidRPr="003D1A91">
        <w:rPr>
          <w:b/>
          <w:szCs w:val="28"/>
          <w:u w:val="single"/>
          <w:lang w:val="ro-RO"/>
        </w:rPr>
        <w:t xml:space="preserve"> </w:t>
      </w:r>
      <w:r w:rsidR="0094303B">
        <w:rPr>
          <w:b/>
          <w:szCs w:val="28"/>
          <w:u w:val="single"/>
          <w:lang w:val="ro-RO"/>
        </w:rPr>
        <w:t>3,5</w:t>
      </w:r>
      <w:r w:rsidRPr="003D1A91">
        <w:rPr>
          <w:b/>
          <w:szCs w:val="28"/>
          <w:u w:val="single"/>
          <w:lang w:val="ro-RO"/>
        </w:rPr>
        <w:t>/1000</w:t>
      </w:r>
      <w:r>
        <w:rPr>
          <w:szCs w:val="28"/>
          <w:lang w:val="ro-RO"/>
        </w:rPr>
        <w:t xml:space="preserve"> </w:t>
      </w:r>
      <w:r w:rsidRPr="003D1A91">
        <w:rPr>
          <w:b/>
          <w:szCs w:val="28"/>
          <w:lang w:val="ro-RO"/>
        </w:rPr>
        <w:t>locuitori</w:t>
      </w:r>
      <w:r>
        <w:rPr>
          <w:szCs w:val="28"/>
          <w:lang w:val="ro-RO"/>
        </w:rPr>
        <w:t xml:space="preserve">, în comuna </w:t>
      </w:r>
      <w:r w:rsidR="001444FB">
        <w:rPr>
          <w:b/>
          <w:szCs w:val="28"/>
          <w:lang w:val="ro-RO"/>
        </w:rPr>
        <w:t>Doicești</w:t>
      </w:r>
      <w:r>
        <w:rPr>
          <w:b/>
          <w:color w:val="000000"/>
          <w:szCs w:val="28"/>
          <w:lang w:val="ro-RO"/>
        </w:rPr>
        <w:t xml:space="preserve"> (</w:t>
      </w:r>
      <w:r w:rsidR="001444FB">
        <w:rPr>
          <w:b/>
          <w:color w:val="000000"/>
          <w:szCs w:val="28"/>
          <w:lang w:val="ro-RO"/>
        </w:rPr>
        <w:t>2,97</w:t>
      </w:r>
      <w:r>
        <w:rPr>
          <w:b/>
          <w:color w:val="000000"/>
          <w:szCs w:val="28"/>
          <w:lang w:val="ro-RO"/>
        </w:rPr>
        <w:t xml:space="preserve"> /1000 locuitori);</w:t>
      </w:r>
    </w:p>
    <w:p w:rsidR="003E4BC9" w:rsidRPr="00BC47FD" w:rsidRDefault="003E4BC9" w:rsidP="003E4BC9">
      <w:pPr>
        <w:spacing w:after="0" w:line="276" w:lineRule="auto"/>
        <w:ind w:firstLine="1440"/>
        <w:jc w:val="both"/>
        <w:rPr>
          <w:szCs w:val="28"/>
          <w:lang w:val="es-ES"/>
        </w:rPr>
      </w:pPr>
      <w:r w:rsidRPr="00BC47FD">
        <w:rPr>
          <w:b/>
          <w:szCs w:val="28"/>
          <w:lang w:val="es-ES"/>
        </w:rPr>
        <w:t>(2)</w:t>
      </w:r>
      <w:r w:rsidRPr="00BC47FD">
        <w:rPr>
          <w:szCs w:val="28"/>
          <w:lang w:val="es-ES"/>
        </w:rPr>
        <w:t xml:space="preserve"> Unitatea administrativ-teritorială prevăzută la art. </w:t>
      </w:r>
      <w:r>
        <w:rPr>
          <w:szCs w:val="28"/>
          <w:lang w:val="es-ES"/>
        </w:rPr>
        <w:t>1 alin. (</w:t>
      </w:r>
      <w:r w:rsidRPr="00BC47FD">
        <w:rPr>
          <w:szCs w:val="28"/>
          <w:lang w:val="es-ES"/>
        </w:rPr>
        <w:t>1</w:t>
      </w:r>
      <w:r>
        <w:rPr>
          <w:szCs w:val="28"/>
          <w:lang w:val="es-ES"/>
        </w:rPr>
        <w:t>)</w:t>
      </w:r>
      <w:r w:rsidRPr="00BC47FD">
        <w:rPr>
          <w:szCs w:val="28"/>
          <w:lang w:val="es-ES"/>
        </w:rPr>
        <w:t xml:space="preserve"> va aplica măsurile specifice intervalului de referinţă </w:t>
      </w:r>
      <w:r>
        <w:rPr>
          <w:b/>
          <w:szCs w:val="28"/>
          <w:lang w:val="es-ES"/>
        </w:rPr>
        <w:t>(</w:t>
      </w:r>
      <w:r w:rsidRPr="00BC47FD">
        <w:rPr>
          <w:b/>
          <w:szCs w:val="28"/>
          <w:lang w:val="es-ES"/>
        </w:rPr>
        <w:t>peste 3/1000 locuitori)</w:t>
      </w:r>
      <w:r w:rsidRPr="00BC47FD">
        <w:rPr>
          <w:szCs w:val="28"/>
          <w:lang w:val="es-ES"/>
        </w:rPr>
        <w:t xml:space="preserve"> al incidenţei cumulate la 14 zile prevăzute de H.G. nr. 293/10.03.2021</w:t>
      </w:r>
      <w:r>
        <w:rPr>
          <w:szCs w:val="28"/>
          <w:lang w:val="es-ES"/>
        </w:rPr>
        <w:t>,</w:t>
      </w:r>
      <w:r w:rsidRPr="00BC47FD">
        <w:rPr>
          <w:szCs w:val="28"/>
          <w:lang w:val="es-ES"/>
        </w:rPr>
        <w:t xml:space="preserve"> </w:t>
      </w:r>
      <w:r>
        <w:rPr>
          <w:szCs w:val="28"/>
          <w:lang w:val="ro-RO"/>
        </w:rPr>
        <w:t xml:space="preserve">modificată și completată prin H.G. nr. 348/25.03.2021, potrivit art. 2 </w:t>
      </w:r>
      <w:r>
        <w:rPr>
          <w:szCs w:val="28"/>
          <w:lang w:val="es-ES"/>
        </w:rPr>
        <w:t>din Hotărârea CJSU Dâmbovița nr. 85/27.03.2021</w:t>
      </w:r>
      <w:r w:rsidRPr="00BC47FD">
        <w:rPr>
          <w:szCs w:val="28"/>
          <w:lang w:val="es-ES"/>
        </w:rPr>
        <w:t>;</w:t>
      </w:r>
    </w:p>
    <w:p w:rsidR="003E4BC9" w:rsidRPr="00BC47FD" w:rsidRDefault="008B1986" w:rsidP="008B1986">
      <w:pPr>
        <w:autoSpaceDE w:val="0"/>
        <w:autoSpaceDN w:val="0"/>
        <w:adjustRightInd w:val="0"/>
        <w:spacing w:after="0" w:line="276" w:lineRule="auto"/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 xml:space="preserve">                    </w:t>
      </w:r>
      <w:r w:rsidR="003E4BC9">
        <w:rPr>
          <w:b/>
          <w:szCs w:val="28"/>
          <w:lang w:val="es-ES"/>
        </w:rPr>
        <w:t xml:space="preserve">(3) </w:t>
      </w:r>
      <w:r w:rsidR="003E4BC9" w:rsidRPr="00BC47FD">
        <w:rPr>
          <w:szCs w:val="28"/>
          <w:lang w:val="ro-RO"/>
        </w:rPr>
        <w:t>În unitatea administrativ</w:t>
      </w:r>
      <w:r w:rsidR="003E4BC9" w:rsidRPr="00BC47FD">
        <w:rPr>
          <w:szCs w:val="28"/>
          <w:lang w:val="es-ES"/>
        </w:rPr>
        <w:t>- teritorială prev</w:t>
      </w:r>
      <w:proofErr w:type="spellStart"/>
      <w:r w:rsidR="003E4BC9" w:rsidRPr="00BC47FD">
        <w:rPr>
          <w:szCs w:val="28"/>
          <w:lang w:val="ro-RO"/>
        </w:rPr>
        <w:t>ăzută</w:t>
      </w:r>
      <w:proofErr w:type="spellEnd"/>
      <w:r w:rsidR="003E4BC9" w:rsidRPr="00BC47FD">
        <w:rPr>
          <w:szCs w:val="28"/>
          <w:lang w:val="ro-RO"/>
        </w:rPr>
        <w:t xml:space="preserve"> la</w:t>
      </w:r>
      <w:r w:rsidR="003E4BC9">
        <w:rPr>
          <w:szCs w:val="28"/>
          <w:lang w:val="ro-RO"/>
        </w:rPr>
        <w:t xml:space="preserve"> art. 1</w:t>
      </w:r>
      <w:r w:rsidR="003E4BC9" w:rsidRPr="00BC47FD">
        <w:rPr>
          <w:szCs w:val="28"/>
          <w:lang w:val="ro-RO"/>
        </w:rPr>
        <w:t xml:space="preserve"> alin. (1)</w:t>
      </w:r>
      <w:r w:rsidR="003E4BC9">
        <w:rPr>
          <w:b/>
          <w:szCs w:val="28"/>
          <w:lang w:val="es-ES"/>
        </w:rPr>
        <w:t xml:space="preserve"> </w:t>
      </w:r>
      <w:r w:rsidR="003E4BC9">
        <w:rPr>
          <w:szCs w:val="28"/>
          <w:lang w:val="ro-RO"/>
        </w:rPr>
        <w:t>m</w:t>
      </w:r>
      <w:r w:rsidR="003E4BC9" w:rsidRPr="00BC47FD">
        <w:rPr>
          <w:szCs w:val="28"/>
          <w:lang w:val="ro-RO"/>
        </w:rPr>
        <w:t xml:space="preserve">ăsurile specifice intervalului menționat se aplică </w:t>
      </w:r>
      <w:r w:rsidR="003E4BC9">
        <w:rPr>
          <w:szCs w:val="28"/>
          <w:lang w:val="ro-RO"/>
        </w:rPr>
        <w:t>până la expirarea termenului de 14 zile</w:t>
      </w:r>
      <w:r w:rsidR="003E4BC9" w:rsidRPr="00BC47FD">
        <w:rPr>
          <w:szCs w:val="28"/>
          <w:lang w:val="ro-RO"/>
        </w:rPr>
        <w:t>,</w:t>
      </w:r>
      <w:r w:rsidR="003E4BC9">
        <w:rPr>
          <w:szCs w:val="28"/>
          <w:lang w:val="ro-RO"/>
        </w:rPr>
        <w:t xml:space="preserve"> prevăzut de art. 7 </w:t>
      </w:r>
      <w:r w:rsidR="003E4BC9">
        <w:rPr>
          <w:szCs w:val="28"/>
          <w:lang w:val="es-ES"/>
        </w:rPr>
        <w:t>din Hotărârea CJSU Dâmbovița nr. 85/27.03.2021, respectiv până la data de</w:t>
      </w:r>
      <w:r w:rsidR="003E4BC9" w:rsidRPr="00BC47FD">
        <w:rPr>
          <w:b/>
          <w:szCs w:val="28"/>
          <w:lang w:val="ro-RO"/>
        </w:rPr>
        <w:t xml:space="preserve"> </w:t>
      </w:r>
      <w:r w:rsidR="003E4BC9">
        <w:rPr>
          <w:b/>
          <w:szCs w:val="28"/>
          <w:lang w:val="ro-RO"/>
        </w:rPr>
        <w:t>10</w:t>
      </w:r>
      <w:r w:rsidR="003E4BC9" w:rsidRPr="00BC47FD">
        <w:rPr>
          <w:b/>
          <w:szCs w:val="28"/>
          <w:lang w:val="ro-RO"/>
        </w:rPr>
        <w:t>.04.2021</w:t>
      </w:r>
      <w:r w:rsidR="003E4BC9" w:rsidRPr="00BC47FD">
        <w:rPr>
          <w:szCs w:val="28"/>
          <w:lang w:val="ro-RO"/>
        </w:rPr>
        <w:t>;</w:t>
      </w:r>
    </w:p>
    <w:p w:rsidR="009F6E7E" w:rsidRPr="00AB78B2" w:rsidRDefault="009F6E7E" w:rsidP="003E4BC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>
        <w:rPr>
          <w:b/>
          <w:szCs w:val="28"/>
          <w:lang w:val="es-ES"/>
        </w:rPr>
        <w:tab/>
        <w:t xml:space="preserve">          </w:t>
      </w: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2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(1) </w:t>
      </w:r>
      <w:r>
        <w:rPr>
          <w:szCs w:val="28"/>
          <w:lang w:val="ro-RO"/>
        </w:rPr>
        <w:t>Se constată</w:t>
      </w:r>
      <w:r w:rsidR="00321D9D">
        <w:rPr>
          <w:szCs w:val="28"/>
          <w:lang w:val="ro-RO"/>
        </w:rPr>
        <w:t xml:space="preserve"> menținerea</w:t>
      </w:r>
      <w:r>
        <w:rPr>
          <w:szCs w:val="28"/>
          <w:lang w:val="ro-RO"/>
        </w:rPr>
        <w:t xml:space="preserve"> depășir</w:t>
      </w:r>
      <w:r w:rsidR="00321D9D">
        <w:rPr>
          <w:szCs w:val="28"/>
          <w:lang w:val="ro-RO"/>
        </w:rPr>
        <w:t>ii</w:t>
      </w:r>
      <w:r>
        <w:rPr>
          <w:szCs w:val="28"/>
          <w:lang w:val="ro-RO"/>
        </w:rPr>
        <w:t xml:space="preserve"> incidenței cumulate la 14 zile, </w:t>
      </w:r>
      <w:r w:rsidRPr="004F4D76">
        <w:rPr>
          <w:b/>
          <w:szCs w:val="28"/>
          <w:u w:val="single"/>
          <w:lang w:val="ro-RO"/>
        </w:rPr>
        <w:t>peste 3/1000</w:t>
      </w:r>
      <w:r w:rsidRPr="004F4D76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 xml:space="preserve">, în </w:t>
      </w:r>
      <w:r w:rsidRPr="00D1679D">
        <w:rPr>
          <w:szCs w:val="28"/>
          <w:lang w:val="ro-RO"/>
        </w:rPr>
        <w:t>comuna</w:t>
      </w:r>
      <w:r>
        <w:rPr>
          <w:b/>
          <w:szCs w:val="28"/>
          <w:lang w:val="ro-RO"/>
        </w:rPr>
        <w:t xml:space="preserve"> </w:t>
      </w:r>
      <w:r w:rsidR="00321D9D">
        <w:rPr>
          <w:b/>
          <w:szCs w:val="28"/>
          <w:lang w:val="ro-RO"/>
        </w:rPr>
        <w:t xml:space="preserve">Șotânga </w:t>
      </w:r>
      <w:r w:rsidRPr="00927359">
        <w:rPr>
          <w:b/>
          <w:color w:val="000000"/>
          <w:szCs w:val="28"/>
          <w:lang w:val="ro-RO"/>
        </w:rPr>
        <w:t>(3,</w:t>
      </w:r>
      <w:r w:rsidR="00321D9D">
        <w:rPr>
          <w:b/>
          <w:color w:val="000000"/>
          <w:szCs w:val="28"/>
          <w:lang w:val="ro-RO"/>
        </w:rPr>
        <w:t>54</w:t>
      </w:r>
      <w:r w:rsidRPr="00927359">
        <w:rPr>
          <w:b/>
          <w:color w:val="000000"/>
          <w:szCs w:val="28"/>
          <w:lang w:val="ro-RO"/>
        </w:rPr>
        <w:t>/1000 locuitori</w:t>
      </w:r>
      <w:r w:rsidRPr="00AB78B2">
        <w:rPr>
          <w:b/>
          <w:color w:val="000000"/>
          <w:szCs w:val="28"/>
          <w:lang w:val="ro-RO"/>
        </w:rPr>
        <w:t>);</w:t>
      </w:r>
    </w:p>
    <w:p w:rsidR="009F6E7E" w:rsidRPr="00BC47FD" w:rsidRDefault="009F6E7E" w:rsidP="009F6E7E">
      <w:pPr>
        <w:spacing w:after="0" w:line="276" w:lineRule="auto"/>
        <w:ind w:firstLine="1440"/>
        <w:jc w:val="both"/>
        <w:rPr>
          <w:szCs w:val="28"/>
          <w:lang w:val="es-ES"/>
        </w:rPr>
      </w:pPr>
      <w:r w:rsidRPr="00BC47FD">
        <w:rPr>
          <w:b/>
          <w:szCs w:val="28"/>
          <w:lang w:val="es-ES"/>
        </w:rPr>
        <w:lastRenderedPageBreak/>
        <w:t>(2)</w:t>
      </w:r>
      <w:r w:rsidRPr="00BC47FD">
        <w:rPr>
          <w:szCs w:val="28"/>
          <w:lang w:val="es-ES"/>
        </w:rPr>
        <w:t xml:space="preserve"> Unitatea administrativ-teritorială prevăzută la art. </w:t>
      </w:r>
      <w:r>
        <w:rPr>
          <w:szCs w:val="28"/>
          <w:lang w:val="es-ES"/>
        </w:rPr>
        <w:t>2 alin. (</w:t>
      </w:r>
      <w:r w:rsidRPr="00BC47FD">
        <w:rPr>
          <w:szCs w:val="28"/>
          <w:lang w:val="es-ES"/>
        </w:rPr>
        <w:t>1</w:t>
      </w:r>
      <w:r>
        <w:rPr>
          <w:szCs w:val="28"/>
          <w:lang w:val="es-ES"/>
        </w:rPr>
        <w:t>)</w:t>
      </w:r>
      <w:r w:rsidRPr="00BC47FD">
        <w:rPr>
          <w:szCs w:val="28"/>
          <w:lang w:val="es-ES"/>
        </w:rPr>
        <w:t xml:space="preserve"> va aplica măsurile specifice intervalului de referinţă </w:t>
      </w:r>
      <w:r w:rsidR="004F4D76">
        <w:rPr>
          <w:b/>
          <w:szCs w:val="28"/>
          <w:lang w:val="es-ES"/>
        </w:rPr>
        <w:t>(</w:t>
      </w:r>
      <w:r w:rsidRPr="00BC47FD">
        <w:rPr>
          <w:b/>
          <w:szCs w:val="28"/>
          <w:lang w:val="es-ES"/>
        </w:rPr>
        <w:t>peste 3/1000 locuitori)</w:t>
      </w:r>
      <w:r w:rsidRPr="00BC47FD">
        <w:rPr>
          <w:szCs w:val="28"/>
          <w:lang w:val="es-ES"/>
        </w:rPr>
        <w:t xml:space="preserve"> al incidenţei cumulate la 14 zile prevăzute de H.G. nr. 293/10.03.2021</w:t>
      </w:r>
      <w:r w:rsidR="00F2438D">
        <w:rPr>
          <w:szCs w:val="28"/>
          <w:lang w:val="es-ES"/>
        </w:rPr>
        <w:t>,</w:t>
      </w:r>
      <w:r w:rsidRPr="00BC47FD">
        <w:rPr>
          <w:szCs w:val="28"/>
          <w:lang w:val="es-ES"/>
        </w:rPr>
        <w:t xml:space="preserve"> </w:t>
      </w:r>
      <w:r w:rsidR="00F2438D">
        <w:rPr>
          <w:szCs w:val="28"/>
          <w:lang w:val="ro-RO"/>
        </w:rPr>
        <w:t>modificată și completată prin H.G. nr. 348/25.03.2021</w:t>
      </w:r>
      <w:r w:rsidRPr="00BC47FD">
        <w:rPr>
          <w:szCs w:val="28"/>
          <w:lang w:val="es-ES"/>
        </w:rPr>
        <w:t>;</w:t>
      </w:r>
    </w:p>
    <w:p w:rsidR="009F6E7E" w:rsidRPr="00BC47FD" w:rsidRDefault="009F6E7E" w:rsidP="009F6E7E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szCs w:val="28"/>
          <w:lang w:val="es-ES"/>
        </w:rPr>
      </w:pPr>
      <w:r>
        <w:rPr>
          <w:b/>
          <w:szCs w:val="28"/>
          <w:lang w:val="es-ES"/>
        </w:rPr>
        <w:t xml:space="preserve">(3) </w:t>
      </w:r>
      <w:r w:rsidRPr="00BC47FD">
        <w:rPr>
          <w:szCs w:val="28"/>
          <w:lang w:val="ro-RO"/>
        </w:rPr>
        <w:t>În unitatea administrativ</w:t>
      </w:r>
      <w:r w:rsidRPr="00BC47FD">
        <w:rPr>
          <w:szCs w:val="28"/>
          <w:lang w:val="es-ES"/>
        </w:rPr>
        <w:t>- teritorială prev</w:t>
      </w:r>
      <w:r w:rsidRPr="00BC47FD">
        <w:rPr>
          <w:szCs w:val="28"/>
          <w:lang w:val="ro-RO"/>
        </w:rPr>
        <w:t>ăzută la</w:t>
      </w:r>
      <w:r>
        <w:rPr>
          <w:szCs w:val="28"/>
          <w:lang w:val="ro-RO"/>
        </w:rPr>
        <w:t xml:space="preserve"> art. 2</w:t>
      </w:r>
      <w:r w:rsidRPr="00BC47FD">
        <w:rPr>
          <w:szCs w:val="28"/>
          <w:lang w:val="ro-RO"/>
        </w:rPr>
        <w:t xml:space="preserve"> alin. (1)</w:t>
      </w:r>
      <w:r>
        <w:rPr>
          <w:b/>
          <w:szCs w:val="28"/>
          <w:lang w:val="es-ES"/>
        </w:rPr>
        <w:t xml:space="preserve"> </w:t>
      </w:r>
      <w:r>
        <w:rPr>
          <w:szCs w:val="28"/>
          <w:lang w:val="ro-RO"/>
        </w:rPr>
        <w:t>m</w:t>
      </w:r>
      <w:r w:rsidRPr="00BC47FD">
        <w:rPr>
          <w:szCs w:val="28"/>
          <w:lang w:val="ro-RO"/>
        </w:rPr>
        <w:t xml:space="preserve">ăsurile specifice intervalului menționat se aplică pentru o perioadă de 14 zile, </w:t>
      </w:r>
      <w:r w:rsidRPr="00BC47FD">
        <w:rPr>
          <w:b/>
          <w:szCs w:val="28"/>
          <w:lang w:val="ro-RO"/>
        </w:rPr>
        <w:t>începând cu data de 0</w:t>
      </w:r>
      <w:r w:rsidR="00321D9D">
        <w:rPr>
          <w:b/>
          <w:szCs w:val="28"/>
          <w:lang w:val="ro-RO"/>
        </w:rPr>
        <w:t>5</w:t>
      </w:r>
      <w:r w:rsidRPr="00BC47FD">
        <w:rPr>
          <w:b/>
          <w:szCs w:val="28"/>
          <w:lang w:val="ro-RO"/>
        </w:rPr>
        <w:t>.04.2021</w:t>
      </w:r>
      <w:r w:rsidRPr="00BC47FD">
        <w:rPr>
          <w:szCs w:val="28"/>
          <w:lang w:val="ro-RO"/>
        </w:rPr>
        <w:t>;</w:t>
      </w:r>
    </w:p>
    <w:p w:rsidR="009F6E7E" w:rsidRDefault="009F6E7E" w:rsidP="009F6E7E">
      <w:pPr>
        <w:spacing w:after="0" w:line="276" w:lineRule="auto"/>
        <w:ind w:firstLine="709"/>
        <w:jc w:val="both"/>
        <w:rPr>
          <w:color w:val="000000"/>
          <w:szCs w:val="28"/>
          <w:lang w:val="ro-RO"/>
        </w:rPr>
      </w:pPr>
      <w:r>
        <w:rPr>
          <w:b/>
          <w:szCs w:val="28"/>
          <w:lang w:val="es-ES"/>
        </w:rPr>
        <w:t xml:space="preserve">Art.3. (1) </w:t>
      </w:r>
      <w:r>
        <w:rPr>
          <w:szCs w:val="28"/>
          <w:lang w:val="ro-RO"/>
        </w:rPr>
        <w:t xml:space="preserve">Se constată depășirea incidenței cumulate la 14 zile, </w:t>
      </w:r>
      <w:r w:rsidRPr="00BC47FD">
        <w:rPr>
          <w:b/>
          <w:szCs w:val="28"/>
          <w:u w:val="single"/>
          <w:lang w:val="ro-RO"/>
        </w:rPr>
        <w:t>peste 1,5/1000</w:t>
      </w:r>
      <w:r w:rsidRPr="00BC47FD">
        <w:rPr>
          <w:b/>
          <w:szCs w:val="28"/>
          <w:lang w:val="ro-RO"/>
        </w:rPr>
        <w:t xml:space="preserve"> locuitori</w:t>
      </w:r>
      <w:r>
        <w:rPr>
          <w:szCs w:val="28"/>
          <w:lang w:val="ro-RO"/>
        </w:rPr>
        <w:t>, în următoarele unități administrativ-teritoriale:</w:t>
      </w:r>
      <w:r w:rsidRPr="00AB78B2">
        <w:rPr>
          <w:b/>
          <w:color w:val="000000"/>
          <w:szCs w:val="28"/>
          <w:lang w:val="ro-RO"/>
        </w:rPr>
        <w:t xml:space="preserve"> </w:t>
      </w:r>
      <w:r w:rsidR="00321D9D">
        <w:rPr>
          <w:b/>
          <w:color w:val="000000"/>
          <w:szCs w:val="28"/>
          <w:lang w:val="ro-RO"/>
        </w:rPr>
        <w:t>Vulcana Băi</w:t>
      </w:r>
      <w:r>
        <w:rPr>
          <w:b/>
          <w:color w:val="000000"/>
          <w:szCs w:val="28"/>
          <w:lang w:val="ro-RO"/>
        </w:rPr>
        <w:t xml:space="preserve"> </w:t>
      </w:r>
      <w:r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>2,63</w:t>
      </w:r>
      <w:r>
        <w:rPr>
          <w:b/>
          <w:color w:val="000000"/>
          <w:szCs w:val="28"/>
          <w:lang w:val="ro-RO"/>
        </w:rPr>
        <w:t xml:space="preserve">/1000 locuitori), </w:t>
      </w:r>
      <w:r w:rsidR="00321D9D">
        <w:rPr>
          <w:b/>
          <w:color w:val="000000"/>
          <w:szCs w:val="28"/>
          <w:lang w:val="ro-RO"/>
        </w:rPr>
        <w:t>Gura Foii</w:t>
      </w:r>
      <w:r>
        <w:rPr>
          <w:b/>
          <w:color w:val="000000"/>
          <w:szCs w:val="28"/>
          <w:lang w:val="ro-RO"/>
        </w:rPr>
        <w:t xml:space="preserve"> </w:t>
      </w:r>
      <w:r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>2,26</w:t>
      </w:r>
      <w:r>
        <w:rPr>
          <w:b/>
          <w:color w:val="000000"/>
          <w:szCs w:val="28"/>
          <w:lang w:val="ro-RO"/>
        </w:rPr>
        <w:t>/1000 locuitori)</w:t>
      </w:r>
      <w:r w:rsidR="00321D9D">
        <w:rPr>
          <w:b/>
          <w:color w:val="000000"/>
          <w:szCs w:val="28"/>
          <w:lang w:val="ro-RO"/>
        </w:rPr>
        <w:t xml:space="preserve">, Văleni Dâmbovița </w:t>
      </w:r>
      <w:r w:rsidR="00321D9D"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>2,07/1000 locuitori), Costeștii din Vale</w:t>
      </w:r>
      <w:r>
        <w:rPr>
          <w:b/>
          <w:color w:val="000000"/>
          <w:szCs w:val="28"/>
          <w:lang w:val="ro-RO"/>
        </w:rPr>
        <w:t xml:space="preserve"> </w:t>
      </w:r>
      <w:r w:rsidR="00321D9D"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 xml:space="preserve">2,04/1000 locuitori), Petrești </w:t>
      </w:r>
      <w:r w:rsidR="00321D9D"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 xml:space="preserve">1,88/1000 locuitori), Bilciurești </w:t>
      </w:r>
      <w:r w:rsidR="00321D9D"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>1,56/1000 locuitori)</w:t>
      </w:r>
      <w:r>
        <w:rPr>
          <w:b/>
          <w:color w:val="000000"/>
          <w:szCs w:val="28"/>
          <w:lang w:val="ro-RO"/>
        </w:rPr>
        <w:t>;</w:t>
      </w:r>
    </w:p>
    <w:p w:rsidR="009F6E7E" w:rsidRDefault="009F6E7E" w:rsidP="009F6E7E">
      <w:pPr>
        <w:spacing w:after="0" w:line="276" w:lineRule="auto"/>
        <w:ind w:firstLine="1440"/>
        <w:jc w:val="both"/>
        <w:rPr>
          <w:b/>
          <w:color w:val="000000"/>
          <w:szCs w:val="28"/>
          <w:lang w:val="ro-RO"/>
        </w:rPr>
      </w:pPr>
      <w:r w:rsidRPr="00D1679D">
        <w:rPr>
          <w:b/>
          <w:color w:val="000000"/>
          <w:szCs w:val="28"/>
          <w:lang w:val="ro-RO"/>
        </w:rPr>
        <w:t>(2)</w:t>
      </w:r>
      <w:r>
        <w:rPr>
          <w:color w:val="000000"/>
          <w:szCs w:val="28"/>
          <w:lang w:val="ro-RO"/>
        </w:rPr>
        <w:t xml:space="preserve"> </w:t>
      </w:r>
      <w:r w:rsidRPr="00C642D6">
        <w:rPr>
          <w:color w:val="000000"/>
          <w:szCs w:val="28"/>
          <w:lang w:val="ro-RO"/>
        </w:rPr>
        <w:t xml:space="preserve">Se constată menținerea depășirii </w:t>
      </w:r>
      <w:r w:rsidRPr="00C642D6">
        <w:rPr>
          <w:szCs w:val="28"/>
          <w:lang w:val="ro-RO"/>
        </w:rPr>
        <w:t xml:space="preserve">incidenței cumulate la 14 zile, </w:t>
      </w:r>
      <w:r w:rsidRPr="00BC47FD">
        <w:rPr>
          <w:b/>
          <w:szCs w:val="28"/>
          <w:u w:val="single"/>
          <w:lang w:val="ro-RO"/>
        </w:rPr>
        <w:t>peste 1,5/1000</w:t>
      </w:r>
      <w:r w:rsidRPr="00C642D6">
        <w:rPr>
          <w:szCs w:val="28"/>
          <w:lang w:val="ro-RO"/>
        </w:rPr>
        <w:t xml:space="preserve"> locuitori,</w:t>
      </w:r>
      <w:r w:rsidRPr="003C0837">
        <w:rPr>
          <w:b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în următoarele unități administrativ-teritoriale: </w:t>
      </w:r>
      <w:r w:rsidR="00321D9D">
        <w:rPr>
          <w:b/>
          <w:color w:val="000000"/>
          <w:szCs w:val="28"/>
          <w:lang w:val="ro-RO"/>
        </w:rPr>
        <w:t>Dărmănești</w:t>
      </w:r>
      <w:r>
        <w:rPr>
          <w:b/>
          <w:color w:val="000000"/>
          <w:szCs w:val="28"/>
          <w:lang w:val="ro-RO"/>
        </w:rPr>
        <w:t xml:space="preserve"> </w:t>
      </w:r>
      <w:r w:rsidRPr="00AB78B2">
        <w:rPr>
          <w:b/>
          <w:color w:val="000000"/>
          <w:szCs w:val="28"/>
          <w:lang w:val="ro-RO"/>
        </w:rPr>
        <w:t>(</w:t>
      </w:r>
      <w:r>
        <w:rPr>
          <w:b/>
          <w:color w:val="000000"/>
          <w:szCs w:val="28"/>
          <w:lang w:val="ro-RO"/>
        </w:rPr>
        <w:t>2,</w:t>
      </w:r>
      <w:r w:rsidR="00321D9D">
        <w:rPr>
          <w:b/>
          <w:color w:val="000000"/>
          <w:szCs w:val="28"/>
          <w:lang w:val="ro-RO"/>
        </w:rPr>
        <w:t>14</w:t>
      </w:r>
      <w:r w:rsidRPr="00AB78B2">
        <w:rPr>
          <w:b/>
          <w:color w:val="000000"/>
          <w:szCs w:val="28"/>
          <w:lang w:val="ro-RO"/>
        </w:rPr>
        <w:t>/1000 locuitori)</w:t>
      </w:r>
      <w:r>
        <w:rPr>
          <w:b/>
          <w:color w:val="000000"/>
          <w:szCs w:val="28"/>
          <w:lang w:val="ro-RO"/>
        </w:rPr>
        <w:t xml:space="preserve">, </w:t>
      </w:r>
      <w:r w:rsidR="00321D9D">
        <w:rPr>
          <w:b/>
          <w:color w:val="000000"/>
          <w:szCs w:val="28"/>
          <w:lang w:val="ro-RO"/>
        </w:rPr>
        <w:t>Slobozia Moară</w:t>
      </w:r>
      <w:r>
        <w:rPr>
          <w:b/>
          <w:color w:val="000000"/>
          <w:szCs w:val="28"/>
          <w:lang w:val="ro-RO"/>
        </w:rPr>
        <w:t xml:space="preserve"> </w:t>
      </w:r>
      <w:r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>2,01</w:t>
      </w:r>
      <w:r w:rsidRPr="00AB78B2">
        <w:rPr>
          <w:b/>
          <w:color w:val="000000"/>
          <w:szCs w:val="28"/>
          <w:lang w:val="ro-RO"/>
        </w:rPr>
        <w:t>/1000 locuitori)</w:t>
      </w:r>
      <w:r w:rsidR="00321D9D">
        <w:rPr>
          <w:b/>
          <w:color w:val="000000"/>
          <w:szCs w:val="28"/>
          <w:lang w:val="ro-RO"/>
        </w:rPr>
        <w:t xml:space="preserve">, Dragomirești </w:t>
      </w:r>
      <w:r w:rsidR="00321D9D"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 xml:space="preserve">1,99/1000 locuitori), Bucșani </w:t>
      </w:r>
      <w:r w:rsidR="00321D9D"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 xml:space="preserve">1,94/1000 locuitori), Hulubești </w:t>
      </w:r>
      <w:r w:rsidR="00321D9D"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 xml:space="preserve">1,91/1000 locuitori), Uliești </w:t>
      </w:r>
      <w:r w:rsidR="00321D9D" w:rsidRPr="00AB78B2">
        <w:rPr>
          <w:b/>
          <w:color w:val="000000"/>
          <w:szCs w:val="28"/>
          <w:lang w:val="ro-RO"/>
        </w:rPr>
        <w:t>(</w:t>
      </w:r>
      <w:r w:rsidR="00321D9D">
        <w:rPr>
          <w:b/>
          <w:color w:val="000000"/>
          <w:szCs w:val="28"/>
          <w:lang w:val="ro-RO"/>
        </w:rPr>
        <w:t>1,75/1000 locuitori)</w:t>
      </w:r>
      <w:r w:rsidRPr="003C0837">
        <w:rPr>
          <w:b/>
          <w:color w:val="000000"/>
          <w:szCs w:val="28"/>
          <w:lang w:val="ro-RO"/>
        </w:rPr>
        <w:t>;</w:t>
      </w:r>
    </w:p>
    <w:p w:rsidR="009F6E7E" w:rsidRPr="00BC47FD" w:rsidRDefault="009F6E7E" w:rsidP="009F6E7E">
      <w:pPr>
        <w:spacing w:after="0" w:line="276" w:lineRule="auto"/>
        <w:ind w:firstLine="1440"/>
        <w:jc w:val="both"/>
        <w:rPr>
          <w:szCs w:val="28"/>
          <w:lang w:val="es-ES"/>
        </w:rPr>
      </w:pPr>
      <w:r>
        <w:rPr>
          <w:b/>
          <w:color w:val="000000"/>
          <w:szCs w:val="28"/>
          <w:lang w:val="ro-RO"/>
        </w:rPr>
        <w:t>(3)</w:t>
      </w:r>
      <w:r w:rsidRPr="009F6E7E">
        <w:rPr>
          <w:szCs w:val="28"/>
          <w:lang w:val="es-ES"/>
        </w:rPr>
        <w:t xml:space="preserve"> </w:t>
      </w:r>
      <w:r w:rsidRPr="00BC47FD">
        <w:rPr>
          <w:szCs w:val="28"/>
          <w:lang w:val="es-ES"/>
        </w:rPr>
        <w:t>Unit</w:t>
      </w:r>
      <w:r>
        <w:rPr>
          <w:szCs w:val="28"/>
          <w:lang w:val="es-ES"/>
        </w:rPr>
        <w:t>ățile</w:t>
      </w:r>
      <w:r w:rsidRPr="00BC47FD">
        <w:rPr>
          <w:szCs w:val="28"/>
          <w:lang w:val="es-ES"/>
        </w:rPr>
        <w:t xml:space="preserve"> administrativ-teritorial</w:t>
      </w:r>
      <w:r>
        <w:rPr>
          <w:szCs w:val="28"/>
          <w:lang w:val="es-ES"/>
        </w:rPr>
        <w:t>e</w:t>
      </w:r>
      <w:r w:rsidRPr="00BC47FD">
        <w:rPr>
          <w:szCs w:val="28"/>
          <w:lang w:val="es-ES"/>
        </w:rPr>
        <w:t xml:space="preserve"> prevăzută la art. </w:t>
      </w:r>
      <w:r>
        <w:rPr>
          <w:szCs w:val="28"/>
          <w:lang w:val="es-ES"/>
        </w:rPr>
        <w:t>3 alin. (</w:t>
      </w:r>
      <w:r w:rsidRPr="00BC47FD">
        <w:rPr>
          <w:szCs w:val="28"/>
          <w:lang w:val="es-ES"/>
        </w:rPr>
        <w:t>1</w:t>
      </w:r>
      <w:r>
        <w:rPr>
          <w:szCs w:val="28"/>
          <w:lang w:val="es-ES"/>
        </w:rPr>
        <w:t>)</w:t>
      </w:r>
      <w:r w:rsidRPr="00BC47FD">
        <w:rPr>
          <w:szCs w:val="28"/>
          <w:lang w:val="es-ES"/>
        </w:rPr>
        <w:t xml:space="preserve"> </w:t>
      </w:r>
      <w:r>
        <w:rPr>
          <w:szCs w:val="28"/>
          <w:lang w:val="es-ES"/>
        </w:rPr>
        <w:t xml:space="preserve">și (2) vor </w:t>
      </w:r>
      <w:r w:rsidRPr="00BC47FD">
        <w:rPr>
          <w:szCs w:val="28"/>
          <w:lang w:val="es-ES"/>
        </w:rPr>
        <w:t xml:space="preserve">aplica măsurile specifice intervalului de referinţă </w:t>
      </w:r>
      <w:r>
        <w:rPr>
          <w:b/>
          <w:szCs w:val="28"/>
          <w:lang w:val="es-ES"/>
        </w:rPr>
        <w:t>(peste 1,5</w:t>
      </w:r>
      <w:r w:rsidRPr="00BC47FD">
        <w:rPr>
          <w:b/>
          <w:szCs w:val="28"/>
          <w:lang w:val="es-ES"/>
        </w:rPr>
        <w:t>/1000 locuitori)</w:t>
      </w:r>
      <w:r w:rsidRPr="00BC47FD">
        <w:rPr>
          <w:szCs w:val="28"/>
          <w:lang w:val="es-ES"/>
        </w:rPr>
        <w:t xml:space="preserve"> al incidenţei cumulate la 14 zile prevăzute de H.G. nr. 293/10.03.2021</w:t>
      </w:r>
      <w:r w:rsidR="00F2438D">
        <w:rPr>
          <w:szCs w:val="28"/>
          <w:lang w:val="es-ES"/>
        </w:rPr>
        <w:t>,</w:t>
      </w:r>
      <w:r w:rsidRPr="00BC47FD">
        <w:rPr>
          <w:szCs w:val="28"/>
          <w:lang w:val="es-ES"/>
        </w:rPr>
        <w:t xml:space="preserve"> </w:t>
      </w:r>
      <w:r w:rsidR="00F2438D">
        <w:rPr>
          <w:szCs w:val="28"/>
          <w:lang w:val="ro-RO"/>
        </w:rPr>
        <w:t>modificată și completată prin H.G. nr. 348/25.03.2021</w:t>
      </w:r>
      <w:r w:rsidRPr="00BC47FD">
        <w:rPr>
          <w:szCs w:val="28"/>
          <w:lang w:val="es-ES"/>
        </w:rPr>
        <w:t>;</w:t>
      </w:r>
    </w:p>
    <w:p w:rsidR="009F6E7E" w:rsidRDefault="009F6E7E" w:rsidP="009F6E7E">
      <w:pPr>
        <w:autoSpaceDE w:val="0"/>
        <w:autoSpaceDN w:val="0"/>
        <w:adjustRightInd w:val="0"/>
        <w:spacing w:after="0" w:line="276" w:lineRule="auto"/>
        <w:ind w:firstLine="1440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(4)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unitățile 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-teritoriale</w:t>
      </w:r>
      <w:r w:rsidRPr="006F49A5">
        <w:rPr>
          <w:szCs w:val="28"/>
          <w:lang w:val="es-ES"/>
        </w:rPr>
        <w:t xml:space="preserve"> </w:t>
      </w:r>
      <w:r>
        <w:rPr>
          <w:szCs w:val="28"/>
          <w:lang w:val="es-ES"/>
        </w:rPr>
        <w:t>p</w:t>
      </w:r>
      <w:r w:rsidRPr="006F49A5">
        <w:rPr>
          <w:szCs w:val="28"/>
          <w:lang w:val="es-ES"/>
        </w:rPr>
        <w:t>rev</w:t>
      </w:r>
      <w:r>
        <w:rPr>
          <w:szCs w:val="28"/>
          <w:lang w:val="ro-RO"/>
        </w:rPr>
        <w:t>ăzute</w:t>
      </w:r>
      <w:r w:rsidRPr="006F49A5">
        <w:rPr>
          <w:szCs w:val="28"/>
          <w:lang w:val="ro-RO"/>
        </w:rPr>
        <w:t xml:space="preserve"> la </w:t>
      </w:r>
      <w:r>
        <w:rPr>
          <w:szCs w:val="28"/>
          <w:lang w:val="ro-RO"/>
        </w:rPr>
        <w:t>art. 3 alin.</w:t>
      </w:r>
      <w:r w:rsidRPr="006F49A5">
        <w:rPr>
          <w:szCs w:val="28"/>
          <w:lang w:val="ro-RO"/>
        </w:rPr>
        <w:t xml:space="preserve"> </w:t>
      </w:r>
      <w:r>
        <w:rPr>
          <w:szCs w:val="28"/>
          <w:lang w:val="ro-RO"/>
        </w:rPr>
        <w:t>(1) și (2) m</w:t>
      </w:r>
      <w:r w:rsidRPr="00BC47FD">
        <w:rPr>
          <w:szCs w:val="28"/>
          <w:lang w:val="ro-RO"/>
        </w:rPr>
        <w:t>ăsurile</w:t>
      </w:r>
      <w:r w:rsidRPr="006F49A5">
        <w:rPr>
          <w:b/>
          <w:szCs w:val="28"/>
          <w:lang w:val="ro-RO"/>
        </w:rPr>
        <w:t xml:space="preserve"> </w:t>
      </w:r>
      <w:r w:rsidRPr="00BC47FD">
        <w:rPr>
          <w:szCs w:val="28"/>
          <w:lang w:val="ro-RO"/>
        </w:rPr>
        <w:t>specifice intervalului menționat se aplică pentru o perioadă de 14 zile,</w:t>
      </w:r>
      <w:r w:rsidRPr="006F49A5">
        <w:rPr>
          <w:b/>
          <w:szCs w:val="28"/>
          <w:lang w:val="ro-RO"/>
        </w:rPr>
        <w:t xml:space="preserve"> începând cu data de</w:t>
      </w:r>
      <w:r>
        <w:rPr>
          <w:b/>
          <w:szCs w:val="28"/>
          <w:lang w:val="ro-RO"/>
        </w:rPr>
        <w:t xml:space="preserve"> 0</w:t>
      </w:r>
      <w:r w:rsidR="00F2438D">
        <w:rPr>
          <w:b/>
          <w:szCs w:val="28"/>
          <w:lang w:val="ro-RO"/>
        </w:rPr>
        <w:t>5</w:t>
      </w:r>
      <w:r>
        <w:rPr>
          <w:b/>
          <w:szCs w:val="28"/>
          <w:lang w:val="ro-RO"/>
        </w:rPr>
        <w:t>.04.2021</w:t>
      </w:r>
      <w:r>
        <w:rPr>
          <w:szCs w:val="28"/>
          <w:lang w:val="ro-RO"/>
        </w:rPr>
        <w:t>;</w:t>
      </w:r>
    </w:p>
    <w:p w:rsidR="009F6E7E" w:rsidRPr="00AB546D" w:rsidRDefault="009F6E7E" w:rsidP="009F6E7E">
      <w:pPr>
        <w:jc w:val="both"/>
        <w:rPr>
          <w:szCs w:val="28"/>
        </w:rPr>
      </w:pPr>
      <w:r>
        <w:rPr>
          <w:b/>
          <w:szCs w:val="28"/>
          <w:lang w:val="es-ES"/>
        </w:rPr>
        <w:tab/>
      </w: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rt.4</w:t>
      </w:r>
      <w:r w:rsidRPr="006F49A5">
        <w:rPr>
          <w:rFonts w:eastAsia="Times New Roman"/>
          <w:b/>
          <w:lang w:val="ro-RO"/>
        </w:rPr>
        <w:t>.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Judeţean pentru Situaţii de Urgenţă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</w:t>
      </w:r>
      <w:r>
        <w:rPr>
          <w:rFonts w:eastAsia="Times New Roman"/>
          <w:szCs w:val="28"/>
          <w:lang w:val="ro-RO"/>
        </w:rPr>
        <w:t xml:space="preserve"> de Sănătate Publică Dâmboviţa, </w:t>
      </w:r>
      <w:r w:rsidRPr="006F49A5">
        <w:rPr>
          <w:rFonts w:eastAsia="Times New Roman"/>
          <w:szCs w:val="28"/>
          <w:lang w:val="ro-RO"/>
        </w:rPr>
        <w:t>Inspectoratului de Poliţie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</w:t>
      </w:r>
      <w:r>
        <w:rPr>
          <w:rFonts w:eastAsia="Times New Roman"/>
          <w:szCs w:val="28"/>
          <w:lang w:val="ro-RO"/>
        </w:rPr>
        <w:t>ncă Dâmbovița, precum şi primarilor</w:t>
      </w:r>
      <w:r w:rsidRPr="006F49A5">
        <w:rPr>
          <w:rFonts w:eastAsia="Times New Roman"/>
          <w:szCs w:val="28"/>
          <w:lang w:val="ro-RO"/>
        </w:rPr>
        <w:t>, în calitate de preşedin</w:t>
      </w:r>
      <w:r>
        <w:rPr>
          <w:rFonts w:eastAsia="Times New Roman"/>
          <w:szCs w:val="28"/>
          <w:lang w:val="ro-RO"/>
        </w:rPr>
        <w:t>ți ai Comitetelor Locale</w:t>
      </w:r>
      <w:r w:rsidRPr="006F49A5">
        <w:rPr>
          <w:rFonts w:eastAsia="Times New Roman"/>
          <w:szCs w:val="28"/>
          <w:lang w:val="ro-RO"/>
        </w:rPr>
        <w:t xml:space="preserve"> pentru Situaţii de Urgenţă din următoa</w:t>
      </w:r>
      <w:r>
        <w:rPr>
          <w:rFonts w:eastAsia="Times New Roman"/>
          <w:szCs w:val="28"/>
          <w:lang w:val="ro-RO"/>
        </w:rPr>
        <w:t>rele unitați administrativ-teritoriale</w:t>
      </w:r>
      <w:r w:rsidRPr="006F49A5">
        <w:rPr>
          <w:rFonts w:eastAsia="Times New Roman"/>
          <w:szCs w:val="28"/>
          <w:lang w:val="ro-RO"/>
        </w:rPr>
        <w:t>:</w:t>
      </w:r>
      <w:r>
        <w:rPr>
          <w:rFonts w:eastAsia="Times New Roman"/>
          <w:szCs w:val="28"/>
          <w:lang w:val="ro-RO"/>
        </w:rPr>
        <w:t xml:space="preserve"> </w:t>
      </w:r>
      <w:r w:rsidR="00F2438D">
        <w:rPr>
          <w:rFonts w:eastAsia="Times New Roman"/>
          <w:b/>
          <w:szCs w:val="28"/>
        </w:rPr>
        <w:t>Șotânga, Doicești, Vulcana Băi, Gura Foii, Dărmănești, Văleni Dâmbovița, Costeștii din Vale, Slobozia Moară, Dragomirești, Bucșani, Hulubești, Petrești, Uliești, Bilciurești</w:t>
      </w:r>
      <w:r>
        <w:rPr>
          <w:rFonts w:eastAsia="Times New Roman"/>
          <w:b/>
          <w:szCs w:val="28"/>
        </w:rPr>
        <w:t>.</w:t>
      </w:r>
    </w:p>
    <w:p w:rsidR="009F6E7E" w:rsidRDefault="009F6E7E" w:rsidP="009F6E7E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9F6E7E" w:rsidRPr="00E176D2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9F6E7E" w:rsidRPr="00E176D2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9F6E7E" w:rsidRPr="00E176D2" w:rsidRDefault="009F6E7E" w:rsidP="009F6E7E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9F6E7E" w:rsidRDefault="009F6E7E" w:rsidP="009F6E7E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p w:rsidR="003F2571" w:rsidRDefault="003F2571" w:rsidP="009840F1">
      <w:pPr>
        <w:tabs>
          <w:tab w:val="left" w:pos="0"/>
        </w:tabs>
        <w:spacing w:after="0" w:line="360" w:lineRule="auto"/>
        <w:jc w:val="center"/>
        <w:rPr>
          <w:sz w:val="24"/>
          <w:szCs w:val="24"/>
        </w:rPr>
      </w:pPr>
    </w:p>
    <w:sectPr w:rsidR="003F2571" w:rsidSect="00D50A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418" w:header="680" w:footer="68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7AFE" w:rsidRDefault="00887AFE" w:rsidP="00912FDC">
      <w:pPr>
        <w:spacing w:after="0" w:line="240" w:lineRule="auto"/>
      </w:pPr>
      <w:r>
        <w:separator/>
      </w:r>
    </w:p>
  </w:endnote>
  <w:endnote w:type="continuationSeparator" w:id="0">
    <w:p w:rsidR="00887AFE" w:rsidRDefault="00887AFE" w:rsidP="0091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DB" w:rsidRDefault="00631AD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D97DE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D97DEE" w:rsidRPr="00D50AD9">
      <w:rPr>
        <w:b/>
        <w:bCs/>
        <w:sz w:val="16"/>
        <w:szCs w:val="16"/>
      </w:rPr>
      <w:fldChar w:fldCharType="separate"/>
    </w:r>
    <w:r w:rsidR="00670DAB">
      <w:rPr>
        <w:b/>
        <w:bCs/>
        <w:noProof/>
        <w:sz w:val="16"/>
        <w:szCs w:val="16"/>
      </w:rPr>
      <w:t>2</w:t>
    </w:r>
    <w:r w:rsidR="00D97DE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D97DE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D97DEE" w:rsidRPr="00D50AD9">
      <w:rPr>
        <w:b/>
        <w:bCs/>
        <w:sz w:val="16"/>
        <w:szCs w:val="16"/>
      </w:rPr>
      <w:fldChar w:fldCharType="separate"/>
    </w:r>
    <w:r w:rsidR="00670DAB">
      <w:rPr>
        <w:b/>
        <w:bCs/>
        <w:noProof/>
        <w:sz w:val="16"/>
        <w:szCs w:val="16"/>
      </w:rPr>
      <w:t>2</w:t>
    </w:r>
    <w:r w:rsidR="00D97DEE" w:rsidRPr="00D50AD9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A032F" w:rsidRPr="00D50AD9" w:rsidRDefault="00D50AD9" w:rsidP="00D50AD9">
    <w:pPr>
      <w:pStyle w:val="Subsol"/>
      <w:jc w:val="center"/>
      <w:rPr>
        <w:sz w:val="16"/>
        <w:szCs w:val="16"/>
      </w:rPr>
    </w:pPr>
    <w:r w:rsidRPr="00D50AD9">
      <w:rPr>
        <w:sz w:val="16"/>
        <w:szCs w:val="16"/>
      </w:rPr>
      <w:t xml:space="preserve">Pagina </w:t>
    </w:r>
    <w:r w:rsidR="00D97DE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PAGE </w:instrText>
    </w:r>
    <w:r w:rsidR="00D97DEE" w:rsidRPr="00D50AD9">
      <w:rPr>
        <w:b/>
        <w:bCs/>
        <w:sz w:val="16"/>
        <w:szCs w:val="16"/>
      </w:rPr>
      <w:fldChar w:fldCharType="separate"/>
    </w:r>
    <w:r w:rsidR="00670DAB">
      <w:rPr>
        <w:b/>
        <w:bCs/>
        <w:noProof/>
        <w:sz w:val="16"/>
        <w:szCs w:val="16"/>
      </w:rPr>
      <w:t>1</w:t>
    </w:r>
    <w:r w:rsidR="00D97DEE" w:rsidRPr="00D50AD9">
      <w:rPr>
        <w:b/>
        <w:bCs/>
        <w:sz w:val="16"/>
        <w:szCs w:val="16"/>
      </w:rPr>
      <w:fldChar w:fldCharType="end"/>
    </w:r>
    <w:r w:rsidRPr="00D50AD9">
      <w:rPr>
        <w:sz w:val="16"/>
        <w:szCs w:val="16"/>
      </w:rPr>
      <w:t xml:space="preserve"> din </w:t>
    </w:r>
    <w:r w:rsidR="00D97DEE" w:rsidRPr="00D50AD9">
      <w:rPr>
        <w:b/>
        <w:bCs/>
        <w:sz w:val="16"/>
        <w:szCs w:val="16"/>
      </w:rPr>
      <w:fldChar w:fldCharType="begin"/>
    </w:r>
    <w:r w:rsidRPr="00D50AD9">
      <w:rPr>
        <w:b/>
        <w:bCs/>
        <w:sz w:val="16"/>
        <w:szCs w:val="16"/>
      </w:rPr>
      <w:instrText xml:space="preserve"> NUMPAGES  </w:instrText>
    </w:r>
    <w:r w:rsidR="00D97DEE" w:rsidRPr="00D50AD9">
      <w:rPr>
        <w:b/>
        <w:bCs/>
        <w:sz w:val="16"/>
        <w:szCs w:val="16"/>
      </w:rPr>
      <w:fldChar w:fldCharType="separate"/>
    </w:r>
    <w:r w:rsidR="00670DAB">
      <w:rPr>
        <w:b/>
        <w:bCs/>
        <w:noProof/>
        <w:sz w:val="16"/>
        <w:szCs w:val="16"/>
      </w:rPr>
      <w:t>2</w:t>
    </w:r>
    <w:r w:rsidR="00D97DEE" w:rsidRPr="00D50AD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7AFE" w:rsidRDefault="00887AFE" w:rsidP="00912FDC">
      <w:pPr>
        <w:spacing w:after="0" w:line="240" w:lineRule="auto"/>
      </w:pPr>
      <w:r>
        <w:separator/>
      </w:r>
    </w:p>
  </w:footnote>
  <w:footnote w:type="continuationSeparator" w:id="0">
    <w:p w:rsidR="00887AFE" w:rsidRDefault="00887AFE" w:rsidP="00912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DB" w:rsidRDefault="00631ADB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1ADB" w:rsidRDefault="00631ADB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50AD9" w:rsidRPr="00497DBD" w:rsidRDefault="00D50AD9" w:rsidP="00D50AD9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D50AD9" w:rsidRPr="00497DBD" w:rsidRDefault="00D50AD9" w:rsidP="00D50AD9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D50AD9" w:rsidRPr="00497DBD" w:rsidRDefault="00CC40DB" w:rsidP="00D50AD9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967740" cy="893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77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0AD9" w:rsidRPr="00497DBD" w:rsidRDefault="00D50AD9" w:rsidP="009840F1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E2017"/>
    <w:multiLevelType w:val="hybridMultilevel"/>
    <w:tmpl w:val="869460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D15B25"/>
    <w:multiLevelType w:val="hybridMultilevel"/>
    <w:tmpl w:val="D258F5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5238"/>
    <w:multiLevelType w:val="hybridMultilevel"/>
    <w:tmpl w:val="44666A12"/>
    <w:lvl w:ilvl="0" w:tplc="870A11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31FF0"/>
    <w:multiLevelType w:val="hybridMultilevel"/>
    <w:tmpl w:val="61B002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E2F89"/>
    <w:multiLevelType w:val="hybridMultilevel"/>
    <w:tmpl w:val="41D619A0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9650A3D"/>
    <w:multiLevelType w:val="hybridMultilevel"/>
    <w:tmpl w:val="04908C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37430"/>
    <w:multiLevelType w:val="hybridMultilevel"/>
    <w:tmpl w:val="3F1444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64422"/>
    <w:multiLevelType w:val="hybridMultilevel"/>
    <w:tmpl w:val="3A948D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B7224F"/>
    <w:multiLevelType w:val="hybridMultilevel"/>
    <w:tmpl w:val="C420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32733"/>
    <w:multiLevelType w:val="hybridMultilevel"/>
    <w:tmpl w:val="146A8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91D76"/>
    <w:multiLevelType w:val="hybridMultilevel"/>
    <w:tmpl w:val="C11AAAFE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6BC7838"/>
    <w:multiLevelType w:val="hybridMultilevel"/>
    <w:tmpl w:val="A140B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83FE5"/>
    <w:multiLevelType w:val="hybridMultilevel"/>
    <w:tmpl w:val="17AA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B104B4"/>
    <w:multiLevelType w:val="hybridMultilevel"/>
    <w:tmpl w:val="01A807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4135A"/>
    <w:multiLevelType w:val="hybridMultilevel"/>
    <w:tmpl w:val="FB6C14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D217E"/>
    <w:multiLevelType w:val="hybridMultilevel"/>
    <w:tmpl w:val="41060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B05E1"/>
    <w:multiLevelType w:val="hybridMultilevel"/>
    <w:tmpl w:val="6A92F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5"/>
  </w:num>
  <w:num w:numId="9">
    <w:abstractNumId w:val="13"/>
  </w:num>
  <w:num w:numId="10">
    <w:abstractNumId w:val="10"/>
  </w:num>
  <w:num w:numId="11">
    <w:abstractNumId w:val="15"/>
  </w:num>
  <w:num w:numId="12">
    <w:abstractNumId w:val="3"/>
  </w:num>
  <w:num w:numId="13">
    <w:abstractNumId w:val="7"/>
  </w:num>
  <w:num w:numId="14">
    <w:abstractNumId w:val="14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E53"/>
    <w:rsid w:val="00014837"/>
    <w:rsid w:val="000628C4"/>
    <w:rsid w:val="00084E44"/>
    <w:rsid w:val="00092B3E"/>
    <w:rsid w:val="000A2B1C"/>
    <w:rsid w:val="000C69E8"/>
    <w:rsid w:val="000E0765"/>
    <w:rsid w:val="000E16DE"/>
    <w:rsid w:val="000E75D7"/>
    <w:rsid w:val="001077EF"/>
    <w:rsid w:val="00125616"/>
    <w:rsid w:val="001444FB"/>
    <w:rsid w:val="00163096"/>
    <w:rsid w:val="001631D6"/>
    <w:rsid w:val="001669DF"/>
    <w:rsid w:val="0017711E"/>
    <w:rsid w:val="00182F3D"/>
    <w:rsid w:val="001B5155"/>
    <w:rsid w:val="001C19A4"/>
    <w:rsid w:val="001C50AA"/>
    <w:rsid w:val="001D161F"/>
    <w:rsid w:val="001F109E"/>
    <w:rsid w:val="001F34AB"/>
    <w:rsid w:val="00205E64"/>
    <w:rsid w:val="00226BE7"/>
    <w:rsid w:val="00251D66"/>
    <w:rsid w:val="00257C08"/>
    <w:rsid w:val="0026502C"/>
    <w:rsid w:val="00280039"/>
    <w:rsid w:val="0028215B"/>
    <w:rsid w:val="00286744"/>
    <w:rsid w:val="002A032F"/>
    <w:rsid w:val="00305675"/>
    <w:rsid w:val="00321D9D"/>
    <w:rsid w:val="0034296D"/>
    <w:rsid w:val="00354E53"/>
    <w:rsid w:val="00375DAE"/>
    <w:rsid w:val="00397839"/>
    <w:rsid w:val="003C40EA"/>
    <w:rsid w:val="003E0432"/>
    <w:rsid w:val="003E4BC9"/>
    <w:rsid w:val="003F2571"/>
    <w:rsid w:val="004028C6"/>
    <w:rsid w:val="00411035"/>
    <w:rsid w:val="0041469F"/>
    <w:rsid w:val="00454516"/>
    <w:rsid w:val="00482772"/>
    <w:rsid w:val="00497C5F"/>
    <w:rsid w:val="00497DBD"/>
    <w:rsid w:val="004B200A"/>
    <w:rsid w:val="004C2C47"/>
    <w:rsid w:val="004D1746"/>
    <w:rsid w:val="004F4D76"/>
    <w:rsid w:val="00506FFA"/>
    <w:rsid w:val="005102B2"/>
    <w:rsid w:val="00522488"/>
    <w:rsid w:val="00545995"/>
    <w:rsid w:val="00546C25"/>
    <w:rsid w:val="00561D08"/>
    <w:rsid w:val="00586F6A"/>
    <w:rsid w:val="00586FE3"/>
    <w:rsid w:val="0059640F"/>
    <w:rsid w:val="006120A8"/>
    <w:rsid w:val="00625EDF"/>
    <w:rsid w:val="00631ADB"/>
    <w:rsid w:val="00640314"/>
    <w:rsid w:val="00641AAA"/>
    <w:rsid w:val="00643217"/>
    <w:rsid w:val="00651A72"/>
    <w:rsid w:val="006630A7"/>
    <w:rsid w:val="00666DA9"/>
    <w:rsid w:val="00670246"/>
    <w:rsid w:val="00670DAB"/>
    <w:rsid w:val="0069550B"/>
    <w:rsid w:val="006A0BC5"/>
    <w:rsid w:val="006A11F2"/>
    <w:rsid w:val="006E51A8"/>
    <w:rsid w:val="006F47B0"/>
    <w:rsid w:val="00726C24"/>
    <w:rsid w:val="007570EE"/>
    <w:rsid w:val="00757201"/>
    <w:rsid w:val="007648B1"/>
    <w:rsid w:val="0079106E"/>
    <w:rsid w:val="007B63CE"/>
    <w:rsid w:val="007D0913"/>
    <w:rsid w:val="0080494C"/>
    <w:rsid w:val="008154B0"/>
    <w:rsid w:val="00873C05"/>
    <w:rsid w:val="00887AFE"/>
    <w:rsid w:val="00890E3F"/>
    <w:rsid w:val="00894CF3"/>
    <w:rsid w:val="00897128"/>
    <w:rsid w:val="008B1986"/>
    <w:rsid w:val="008C3480"/>
    <w:rsid w:val="008E2D2E"/>
    <w:rsid w:val="008E52CD"/>
    <w:rsid w:val="008F3F5F"/>
    <w:rsid w:val="00907DFD"/>
    <w:rsid w:val="00911295"/>
    <w:rsid w:val="00912FDC"/>
    <w:rsid w:val="00935F10"/>
    <w:rsid w:val="0094303B"/>
    <w:rsid w:val="00957C50"/>
    <w:rsid w:val="00961679"/>
    <w:rsid w:val="009665E7"/>
    <w:rsid w:val="00980EDE"/>
    <w:rsid w:val="00982CA6"/>
    <w:rsid w:val="009840F1"/>
    <w:rsid w:val="009948A6"/>
    <w:rsid w:val="009B1EA3"/>
    <w:rsid w:val="009C6F03"/>
    <w:rsid w:val="009F6E7E"/>
    <w:rsid w:val="00A13D7A"/>
    <w:rsid w:val="00A149F6"/>
    <w:rsid w:val="00A26399"/>
    <w:rsid w:val="00A45494"/>
    <w:rsid w:val="00A82781"/>
    <w:rsid w:val="00AA1FA5"/>
    <w:rsid w:val="00B33E92"/>
    <w:rsid w:val="00B40B6F"/>
    <w:rsid w:val="00B4114B"/>
    <w:rsid w:val="00B43A51"/>
    <w:rsid w:val="00B67C4B"/>
    <w:rsid w:val="00B74024"/>
    <w:rsid w:val="00B960C1"/>
    <w:rsid w:val="00BC2D31"/>
    <w:rsid w:val="00BF4DB6"/>
    <w:rsid w:val="00C14245"/>
    <w:rsid w:val="00C14944"/>
    <w:rsid w:val="00C4262D"/>
    <w:rsid w:val="00C5291B"/>
    <w:rsid w:val="00C632A8"/>
    <w:rsid w:val="00CA0532"/>
    <w:rsid w:val="00CC0F7B"/>
    <w:rsid w:val="00CC40DB"/>
    <w:rsid w:val="00CD1713"/>
    <w:rsid w:val="00CD1743"/>
    <w:rsid w:val="00D04451"/>
    <w:rsid w:val="00D2159E"/>
    <w:rsid w:val="00D50AD9"/>
    <w:rsid w:val="00D76C09"/>
    <w:rsid w:val="00D81212"/>
    <w:rsid w:val="00D97DEE"/>
    <w:rsid w:val="00DC05E8"/>
    <w:rsid w:val="00DD7AEC"/>
    <w:rsid w:val="00DE554C"/>
    <w:rsid w:val="00E228B6"/>
    <w:rsid w:val="00E453EB"/>
    <w:rsid w:val="00E5027C"/>
    <w:rsid w:val="00E83906"/>
    <w:rsid w:val="00E905E0"/>
    <w:rsid w:val="00EB4760"/>
    <w:rsid w:val="00EC2D2C"/>
    <w:rsid w:val="00F2438D"/>
    <w:rsid w:val="00F3259E"/>
    <w:rsid w:val="00F32BCA"/>
    <w:rsid w:val="00F35178"/>
    <w:rsid w:val="00F466B3"/>
    <w:rsid w:val="00F6722E"/>
    <w:rsid w:val="00F76FC8"/>
    <w:rsid w:val="00F775FE"/>
    <w:rsid w:val="00F80AC2"/>
    <w:rsid w:val="00F86472"/>
    <w:rsid w:val="00FA0B24"/>
    <w:rsid w:val="00FA515B"/>
    <w:rsid w:val="00FA5254"/>
    <w:rsid w:val="00FB3E5B"/>
    <w:rsid w:val="00FB644A"/>
    <w:rsid w:val="00FD08CB"/>
    <w:rsid w:val="00FD2AB6"/>
    <w:rsid w:val="00FE19F5"/>
    <w:rsid w:val="00FE4C05"/>
    <w:rsid w:val="00FF4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CD374"/>
  <w15:docId w15:val="{93E27BAF-15C6-1C4A-BB35-787909C9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912FDC"/>
    <w:pPr>
      <w:spacing w:after="160" w:line="259" w:lineRule="auto"/>
    </w:pPr>
    <w:rPr>
      <w:rFonts w:ascii="Times New Roman" w:hAnsi="Times New Roman"/>
      <w:sz w:val="28"/>
      <w:szCs w:val="22"/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"/>
    <w:qFormat/>
    <w:rsid w:val="00E453EB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rsid w:val="00912FDC"/>
    <w:rPr>
      <w:rFonts w:ascii="Times New Roman" w:hAnsi="Times New Roman"/>
      <w:sz w:val="28"/>
    </w:rPr>
  </w:style>
  <w:style w:type="paragraph" w:styleId="Subsol">
    <w:name w:val="footer"/>
    <w:basedOn w:val="Normal"/>
    <w:link w:val="SubsolCaracter"/>
    <w:uiPriority w:val="99"/>
    <w:unhideWhenUsed/>
    <w:rsid w:val="00912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link w:val="Subsol"/>
    <w:uiPriority w:val="99"/>
    <w:rsid w:val="00912FDC"/>
    <w:rPr>
      <w:rFonts w:ascii="Times New Roman" w:hAnsi="Times New Roman"/>
      <w:sz w:val="28"/>
    </w:rPr>
  </w:style>
  <w:style w:type="table" w:styleId="Tabelgril">
    <w:name w:val="Table Grid"/>
    <w:basedOn w:val="TabelNormal"/>
    <w:uiPriority w:val="39"/>
    <w:rsid w:val="0091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uiPriority w:val="99"/>
    <w:semiHidden/>
    <w:rsid w:val="00912FDC"/>
    <w:rPr>
      <w:color w:val="808080"/>
    </w:rPr>
  </w:style>
  <w:style w:type="character" w:styleId="Hyperlink">
    <w:name w:val="Hyperlink"/>
    <w:rsid w:val="006A11F2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14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1469F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8F3F5F"/>
    <w:pPr>
      <w:ind w:left="720"/>
      <w:contextualSpacing/>
    </w:pPr>
  </w:style>
  <w:style w:type="paragraph" w:styleId="Frspaiere">
    <w:name w:val="No Spacing"/>
    <w:uiPriority w:val="1"/>
    <w:qFormat/>
    <w:rsid w:val="00454516"/>
    <w:rPr>
      <w:sz w:val="22"/>
      <w:szCs w:val="22"/>
      <w:lang w:eastAsia="en-US"/>
    </w:rPr>
  </w:style>
  <w:style w:type="character" w:customStyle="1" w:styleId="FontStyle34">
    <w:name w:val="Font Style34"/>
    <w:uiPriority w:val="99"/>
    <w:rsid w:val="00454516"/>
    <w:rPr>
      <w:rFonts w:ascii="Times New Roman" w:hAnsi="Times New Roman" w:cs="Times New Roman"/>
      <w:sz w:val="24"/>
      <w:szCs w:val="24"/>
    </w:rPr>
  </w:style>
  <w:style w:type="character" w:customStyle="1" w:styleId="Titlu1Caracter">
    <w:name w:val="Titlu 1 Caracter"/>
    <w:link w:val="Titlu1"/>
    <w:uiPriority w:val="9"/>
    <w:rsid w:val="00E453EB"/>
    <w:rPr>
      <w:rFonts w:ascii="Calibri Light" w:eastAsia="Times New Roman" w:hAnsi="Calibri Light" w:cs="Times New Roman"/>
      <w:b/>
      <w:bCs/>
      <w:color w:val="2E74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:\S-T-P\HOTARARI\MODEL\Model%20HOTARARE%20CJSU.dotx" TargetMode="Externa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E0FCF-59BB-4DF8-8F0D-FB05344B7C4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Model%20HOTARARE%20CJSU.dotx</Template>
  <TotalTime>1</TotalTime>
  <Pages>2</Pages>
  <Words>709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Gatej</dc:creator>
  <cp:keywords/>
  <cp:lastModifiedBy>andreea_10mihaela@yahoo.com</cp:lastModifiedBy>
  <cp:revision>4</cp:revision>
  <cp:lastPrinted>2021-04-02T12:15:00Z</cp:lastPrinted>
  <dcterms:created xsi:type="dcterms:W3CDTF">2021-04-04T13:01:00Z</dcterms:created>
  <dcterms:modified xsi:type="dcterms:W3CDTF">2021-04-04T13:03:00Z</dcterms:modified>
</cp:coreProperties>
</file>