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1" w:rsidRDefault="00CF0181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180718">
        <w:rPr>
          <w:rFonts w:ascii="Tahoma" w:eastAsia="Times New Roman" w:hAnsi="Tahoma" w:cs="Tahoma"/>
          <w:b/>
          <w:sz w:val="24"/>
          <w:szCs w:val="28"/>
          <w:lang w:val="ro-RO"/>
        </w:rPr>
        <w:t>24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180718">
        <w:rPr>
          <w:rFonts w:ascii="Tahoma" w:eastAsia="Times New Roman" w:hAnsi="Tahoma" w:cs="Tahoma"/>
          <w:b/>
          <w:sz w:val="24"/>
          <w:szCs w:val="28"/>
          <w:lang w:val="ro-RO"/>
        </w:rPr>
        <w:t>13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8071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Default="00180718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>pentru aprobarea Planului de activităţi al Comitetului Judeţean</w:t>
      </w:r>
    </w:p>
    <w:p w:rsidR="00180718" w:rsidRPr="00316345" w:rsidRDefault="00180718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>pentru Situaţii de Urgenţă Dâmboviţa pe anul 2022</w:t>
      </w:r>
    </w:p>
    <w:p w:rsidR="009F6E7E" w:rsidRPr="00BB190A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0"/>
          <w:szCs w:val="28"/>
          <w:lang w:val="ro-RO"/>
        </w:rPr>
      </w:pPr>
    </w:p>
    <w:p w:rsidR="00180718" w:rsidRPr="00180718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</w:t>
      </w:r>
      <w:r w:rsidR="00180718">
        <w:rPr>
          <w:rFonts w:ascii="Tahoma" w:eastAsia="Times New Roman" w:hAnsi="Tahoma" w:cs="Tahoma"/>
          <w:sz w:val="24"/>
          <w:szCs w:val="28"/>
          <w:lang w:val="ro-RO"/>
        </w:rPr>
        <w:t>:</w:t>
      </w:r>
    </w:p>
    <w:p w:rsid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180718">
        <w:rPr>
          <w:rFonts w:ascii="Tahoma" w:eastAsia="Times New Roman" w:hAnsi="Tahoma" w:cs="Tahoma"/>
          <w:sz w:val="24"/>
          <w:szCs w:val="28"/>
          <w:lang w:val="ro-RO"/>
        </w:rPr>
        <w:t>O.U.G. nr. 21/2004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privind </w:t>
      </w:r>
      <w:r w:rsidR="00180718">
        <w:rPr>
          <w:rFonts w:ascii="Tahoma" w:eastAsia="Times New Roman" w:hAnsi="Tahoma" w:cs="Tahoma"/>
          <w:sz w:val="24"/>
          <w:szCs w:val="28"/>
          <w:lang w:val="ro-RO"/>
        </w:rPr>
        <w:t>Sistemul Naţional de Management al Situaţiilor de Urgenţă, aprobată prin Legea nr. 15/2005, cu modificările şi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180718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="00180718">
        <w:rPr>
          <w:rFonts w:ascii="Tahoma" w:eastAsia="Times New Roman" w:hAnsi="Tahoma" w:cs="Tahoma"/>
          <w:sz w:val="24"/>
          <w:szCs w:val="28"/>
          <w:lang w:val="ro-RO"/>
        </w:rPr>
        <w:t>- prevederile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</w:t>
      </w:r>
      <w:r w:rsidR="00180718">
        <w:rPr>
          <w:rFonts w:ascii="Tahoma" w:hAnsi="Tahoma" w:cs="Tahoma"/>
          <w:sz w:val="24"/>
          <w:szCs w:val="28"/>
          <w:lang w:val="ro-RO"/>
        </w:rPr>
        <w:t>aprobat prin H.G. nr. 1491/2004;</w:t>
      </w:r>
    </w:p>
    <w:p w:rsidR="00180718" w:rsidRPr="00180718" w:rsidRDefault="00180718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  <w:lang w:val="ro-RO"/>
        </w:rPr>
        <w:tab/>
        <w:t>- prevederile alin (7). art. 9 din Regulamentul privind organi</w:t>
      </w:r>
      <w:r>
        <w:rPr>
          <w:rFonts w:ascii="Tahoma" w:hAnsi="Tahoma" w:cs="Tahoma"/>
          <w:sz w:val="24"/>
          <w:szCs w:val="28"/>
        </w:rPr>
        <w:t>zarea, atribuţiile şi funcţionarea Comitetului Judeţean pentru Situaţii de Urgenţă Dâmboviţa, aprobat prin Ordinul nr. 155/24.02.2020, cu completările şi modificările ulterioare;</w:t>
      </w:r>
    </w:p>
    <w:p w:rsidR="00BB190A" w:rsidRDefault="00180718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ab/>
        <w:t xml:space="preserve">Luând în considerare </w:t>
      </w:r>
      <w:r>
        <w:rPr>
          <w:rFonts w:ascii="Tahoma" w:hAnsi="Tahoma" w:cs="Tahoma"/>
          <w:i/>
          <w:sz w:val="24"/>
          <w:szCs w:val="28"/>
          <w:lang w:val="ro-RO"/>
        </w:rPr>
        <w:t xml:space="preserve">Planul de activităţi al Comitetului Judeţean pentru Situaţii de Urgenţă Dâmboviţa pe anul 2022, </w:t>
      </w:r>
      <w:r>
        <w:rPr>
          <w:rFonts w:ascii="Tahoma" w:hAnsi="Tahoma" w:cs="Tahoma"/>
          <w:sz w:val="24"/>
          <w:szCs w:val="28"/>
          <w:lang w:val="ro-RO"/>
        </w:rPr>
        <w:t>înregistrat cu nr. 2634252 din 13.12.2021</w:t>
      </w:r>
      <w:r w:rsidR="00D7226B">
        <w:rPr>
          <w:rFonts w:ascii="Tahoma" w:hAnsi="Tahoma" w:cs="Tahoma"/>
          <w:sz w:val="24"/>
          <w:szCs w:val="28"/>
          <w:lang w:val="ro-RO"/>
        </w:rPr>
        <w:t>;</w:t>
      </w:r>
    </w:p>
    <w:p w:rsidR="00E96B3D" w:rsidRDefault="00BB190A" w:rsidP="00BB190A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>
        <w:rPr>
          <w:rFonts w:ascii="Tahoma" w:hAnsi="Tahoma" w:cs="Tahoma"/>
          <w:sz w:val="24"/>
          <w:szCs w:val="28"/>
          <w:lang w:val="ro-RO"/>
        </w:rPr>
        <w:t>224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>
        <w:rPr>
          <w:rFonts w:ascii="Tahoma" w:hAnsi="Tahoma" w:cs="Tahoma"/>
          <w:sz w:val="24"/>
          <w:szCs w:val="28"/>
          <w:lang w:val="ro-RO"/>
        </w:rPr>
        <w:t>13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sz w:val="24"/>
          <w:szCs w:val="28"/>
          <w:lang w:val="ro-RO"/>
        </w:rPr>
        <w:t>decem</w:t>
      </w:r>
      <w:r w:rsidRPr="00950C5C">
        <w:rPr>
          <w:rFonts w:ascii="Tahoma" w:hAnsi="Tahoma" w:cs="Tahoma"/>
          <w:sz w:val="24"/>
          <w:szCs w:val="28"/>
          <w:lang w:val="ro-RO"/>
        </w:rPr>
        <w:t>brie 2021;</w:t>
      </w:r>
      <w:r w:rsidR="009F6E7E" w:rsidRPr="00316345">
        <w:rPr>
          <w:rFonts w:ascii="Tahoma" w:hAnsi="Tahoma" w:cs="Tahoma"/>
          <w:sz w:val="24"/>
          <w:szCs w:val="28"/>
          <w:lang w:val="ro-RO"/>
        </w:rPr>
        <w:t xml:space="preserve"> </w:t>
      </w:r>
    </w:p>
    <w:p w:rsidR="009F6E7E" w:rsidRPr="00316345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3F48AA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180718">
        <w:rPr>
          <w:rFonts w:ascii="Tahoma" w:hAnsi="Tahoma" w:cs="Tahoma"/>
          <w:bCs/>
          <w:sz w:val="24"/>
          <w:szCs w:val="28"/>
          <w:lang w:val="ro-RO"/>
        </w:rPr>
        <w:t xml:space="preserve">Se aprobă </w:t>
      </w:r>
      <w:r w:rsidR="00180718">
        <w:rPr>
          <w:rFonts w:ascii="Tahoma" w:hAnsi="Tahoma" w:cs="Tahoma"/>
          <w:i/>
          <w:sz w:val="24"/>
          <w:szCs w:val="28"/>
          <w:lang w:val="ro-RO"/>
        </w:rPr>
        <w:t>Planul de activităţi al Comitetului Judeţean pentru Situaţii de Urgenţă Dâmboviţa pe anul 2022,</w:t>
      </w:r>
      <w:r w:rsidR="00180718">
        <w:rPr>
          <w:rFonts w:ascii="Tahoma" w:hAnsi="Tahoma" w:cs="Tahoma"/>
          <w:sz w:val="24"/>
          <w:szCs w:val="28"/>
          <w:lang w:val="ro-RO"/>
        </w:rPr>
        <w:t xml:space="preserve"> prevăzut în anexă, parte integra</w:t>
      </w:r>
      <w:r w:rsidR="00BB190A">
        <w:rPr>
          <w:rFonts w:ascii="Tahoma" w:hAnsi="Tahoma" w:cs="Tahoma"/>
          <w:sz w:val="24"/>
          <w:szCs w:val="28"/>
          <w:lang w:val="ro-RO"/>
        </w:rPr>
        <w:t>nt</w:t>
      </w:r>
      <w:r w:rsidR="00180718">
        <w:rPr>
          <w:rFonts w:ascii="Tahoma" w:hAnsi="Tahoma" w:cs="Tahoma"/>
          <w:sz w:val="24"/>
          <w:szCs w:val="28"/>
          <w:lang w:val="ro-RO"/>
        </w:rPr>
        <w:t>ă din prezenta hotărâre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18071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</w:t>
      </w:r>
      <w:r w:rsidR="007339E5">
        <w:rPr>
          <w:rFonts w:ascii="Tahoma" w:eastAsia="Times New Roman" w:hAnsi="Tahoma" w:cs="Tahoma"/>
          <w:sz w:val="24"/>
          <w:szCs w:val="28"/>
          <w:lang w:val="ro-RO"/>
        </w:rPr>
        <w:t xml:space="preserve"> și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</w:t>
      </w:r>
      <w:r w:rsidR="003F48AA">
        <w:rPr>
          <w:rFonts w:ascii="Tahoma" w:hAnsi="Tahoma" w:cs="Tahoma"/>
          <w:sz w:val="24"/>
          <w:szCs w:val="28"/>
          <w:lang w:val="ro-RO"/>
        </w:rPr>
        <w:t>.</w:t>
      </w:r>
    </w:p>
    <w:p w:rsidR="007339E5" w:rsidRDefault="007339E5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7339E5" w:rsidRDefault="007339E5" w:rsidP="00203A02">
      <w:pPr>
        <w:jc w:val="center"/>
        <w:rPr>
          <w:rFonts w:ascii="Tahoma" w:hAnsi="Tahoma" w:cs="Tahoma"/>
          <w:b/>
          <w:lang w:val="ro-RO"/>
        </w:rPr>
      </w:pPr>
    </w:p>
    <w:p w:rsidR="00203A02" w:rsidRPr="000C6785" w:rsidRDefault="00180718" w:rsidP="00203A02">
      <w:pPr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lastRenderedPageBreak/>
        <w:t>A</w:t>
      </w:r>
      <w:r w:rsidR="00203A02" w:rsidRPr="000C6785">
        <w:rPr>
          <w:rFonts w:ascii="Tahoma" w:hAnsi="Tahoma" w:cs="Tahoma"/>
          <w:b/>
          <w:lang w:val="ro-RO"/>
        </w:rPr>
        <w:t>nexa nr. 1</w:t>
      </w:r>
    </w:p>
    <w:p w:rsidR="00203A02" w:rsidRPr="003F48AA" w:rsidRDefault="00203A02" w:rsidP="00203A02">
      <w:pPr>
        <w:jc w:val="center"/>
        <w:rPr>
          <w:rFonts w:ascii="Tahoma" w:hAnsi="Tahoma" w:cs="Tahoma"/>
          <w:sz w:val="24"/>
          <w:lang w:val="ro-RO"/>
        </w:rPr>
      </w:pPr>
      <w:r w:rsidRPr="003F48AA">
        <w:rPr>
          <w:rFonts w:ascii="Tahoma" w:hAnsi="Tahoma" w:cs="Tahoma"/>
          <w:sz w:val="24"/>
          <w:lang w:val="ro-RO"/>
        </w:rPr>
        <w:t>la Hotărârea Comitetului Județean pentru Situații de Urgență nr. 2</w:t>
      </w:r>
      <w:r w:rsidR="00180718">
        <w:rPr>
          <w:rFonts w:ascii="Tahoma" w:hAnsi="Tahoma" w:cs="Tahoma"/>
          <w:sz w:val="24"/>
          <w:lang w:val="ro-RO"/>
        </w:rPr>
        <w:t>24</w:t>
      </w:r>
      <w:r w:rsidRPr="003F48AA">
        <w:rPr>
          <w:rFonts w:ascii="Tahoma" w:hAnsi="Tahoma" w:cs="Tahoma"/>
          <w:sz w:val="24"/>
          <w:lang w:val="ro-RO"/>
        </w:rPr>
        <w:t>/</w:t>
      </w:r>
      <w:r w:rsidR="00180718">
        <w:rPr>
          <w:rFonts w:ascii="Tahoma" w:hAnsi="Tahoma" w:cs="Tahoma"/>
          <w:sz w:val="24"/>
          <w:lang w:val="ro-RO"/>
        </w:rPr>
        <w:t>13</w:t>
      </w:r>
      <w:r w:rsidRPr="003F48AA">
        <w:rPr>
          <w:rFonts w:ascii="Tahoma" w:hAnsi="Tahoma" w:cs="Tahoma"/>
          <w:sz w:val="24"/>
          <w:lang w:val="ro-RO"/>
        </w:rPr>
        <w:t>.1</w:t>
      </w:r>
      <w:r w:rsidR="00180718">
        <w:rPr>
          <w:rFonts w:ascii="Tahoma" w:hAnsi="Tahoma" w:cs="Tahoma"/>
          <w:sz w:val="24"/>
          <w:lang w:val="ro-RO"/>
        </w:rPr>
        <w:t>2</w:t>
      </w:r>
      <w:r w:rsidRPr="003F48AA">
        <w:rPr>
          <w:rFonts w:ascii="Tahoma" w:hAnsi="Tahoma" w:cs="Tahoma"/>
          <w:sz w:val="24"/>
          <w:lang w:val="ro-RO"/>
        </w:rPr>
        <w:t>.2021</w:t>
      </w:r>
    </w:p>
    <w:p w:rsidR="00203A02" w:rsidRDefault="00180718" w:rsidP="00203A02">
      <w:pPr>
        <w:jc w:val="center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PLAN DE ACTIVITĂŢI C.J.S.U. DÂMBOVIŢA PE ANUL 2022</w:t>
      </w:r>
    </w:p>
    <w:tbl>
      <w:tblPr>
        <w:tblStyle w:val="TableGrid"/>
        <w:tblW w:w="0" w:type="auto"/>
        <w:tblLook w:val="04A0"/>
      </w:tblPr>
      <w:tblGrid>
        <w:gridCol w:w="569"/>
        <w:gridCol w:w="4771"/>
        <w:gridCol w:w="2190"/>
        <w:gridCol w:w="2324"/>
      </w:tblGrid>
      <w:tr w:rsidR="00180718" w:rsidRPr="007C5FCF" w:rsidTr="00BB32C1">
        <w:trPr>
          <w:cantSplit/>
          <w:tblHeader/>
        </w:trPr>
        <w:tc>
          <w:tcPr>
            <w:tcW w:w="0" w:type="auto"/>
            <w:vAlign w:val="center"/>
          </w:tcPr>
          <w:p w:rsidR="00180718" w:rsidRPr="007C5FCF" w:rsidRDefault="00180718" w:rsidP="00BB32C1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7C5FCF">
              <w:rPr>
                <w:b/>
                <w:bCs/>
                <w:sz w:val="24"/>
                <w:szCs w:val="24"/>
              </w:rPr>
              <w:t>Nr.</w:t>
            </w:r>
          </w:p>
          <w:p w:rsidR="00180718" w:rsidRPr="007C5FCF" w:rsidRDefault="00180718" w:rsidP="00BB32C1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7C5FCF">
              <w:rPr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0" w:type="auto"/>
            <w:vAlign w:val="center"/>
          </w:tcPr>
          <w:p w:rsidR="00180718" w:rsidRPr="007C5FCF" w:rsidRDefault="00180718" w:rsidP="00BB32C1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7C5FCF">
              <w:rPr>
                <w:b/>
                <w:bCs/>
                <w:sz w:val="24"/>
                <w:szCs w:val="24"/>
              </w:rPr>
              <w:t>ACTIVITATEA</w:t>
            </w:r>
          </w:p>
        </w:tc>
        <w:tc>
          <w:tcPr>
            <w:tcW w:w="0" w:type="auto"/>
            <w:vAlign w:val="center"/>
          </w:tcPr>
          <w:p w:rsidR="00180718" w:rsidRPr="007C5FCF" w:rsidRDefault="00180718" w:rsidP="00BB32C1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7C5FCF">
              <w:rPr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0" w:type="auto"/>
            <w:vAlign w:val="center"/>
          </w:tcPr>
          <w:p w:rsidR="00180718" w:rsidRPr="007C5FCF" w:rsidRDefault="00180718" w:rsidP="00BB32C1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7C5FCF">
              <w:rPr>
                <w:b/>
                <w:bCs/>
                <w:sz w:val="24"/>
                <w:szCs w:val="24"/>
              </w:rPr>
              <w:t>RESPONSABILI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Evaluarea activității desfășurate de Comitetul Județean pentru Situații de Urgență Dâmbovița pe anul 2021.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Trimestrul I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Organizarea și desfășurarea ședințelor ordinare ale CJSU Dâmbovița.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Semestrial și la convocarea președintelui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Organizarea și desfășurarea ședințelor extraordinare ale CJSU Dâmbovița.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 apariția factorilor de risc și la producerea situațiilor de urgență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Actualizarea componenței CJSU Dâmbovița și a Grupurilor de suport tehnic.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 apariția modificărilor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Analiza și actualizarea Planurilor de acțiune județene pe tipuri de riscuri întocmite pentru gestionarea manifestării riscurilor specifice.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Trimestrul 1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Actualizarea </w:t>
            </w:r>
            <w:r w:rsidRPr="00832CC9">
              <w:rPr>
                <w:bCs/>
                <w:sz w:val="24"/>
                <w:szCs w:val="24"/>
              </w:rPr>
              <w:t>Regulamentului privind organizarea, atribuțiile și funcționarea CJSU Dâmbovița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Februarie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Analiza îndeplinirii măsurilor, acțiunilor și misiunilor desfășurate pe perioada sezonului rece de către structurile responsabile.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Aprilie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centralizează de către 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Informare privind activitatea de verificare a modului cum au fost salubrizate cursurile de apă și au fost realizate și întreținute șanțurile și rigolele în localități pentru asigurarea secțiunilor de scurgere a apelor mari.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Iunie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SGA Dâmbovița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Aprobarea organizării și desfășurării exercițiilor interne planificate de ISUJ Dâmbovița pentru pregătirea membrilor CJSU și antrenarea grupurilor de suport tehnic în cadrul exercițiilor tematice.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Trimestrial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CLSU din UAT vizate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Întocmirea și aprobarea Planului de măsuri al CJSU Dâmbovița privind combaterea efectelor caniculei și gestionarea situațiilor de urgență specifice sezonului cald/estival 2022.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Mai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Analiza îndeplinirii măsurilor, acțiunilor și misiunilor desfășurate pentru combaterea efectelor caniculei și gestionarea situațiilor de urgență specifice sezonului cald/estival de către structurile responsabile.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Octombrie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centralizează de către 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Întocmirea și aprobarea Planului de măsuri al CJSU Dâmbovița pentru perioada sezonului rece 2022-2023.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Septembrie- Octombrie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Membrii CJSU</w:t>
            </w:r>
          </w:p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centralizează de către ISUJ – SThP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Informare privind activitatea de verificare a construcțiilor hidrotehnice cu rol de apărare împotriva inundațiilor din județul Dâmbovița.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Noiembrie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SHI Văcărești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Informare privind activitatea de verificare/gestionare a zonelor vulnerabile pentru depozitări necontrolate și incendieri de deșeuri din județul Dâmbovița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Noiembrie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GNM – Comisariatul Județean Dâmbovița</w:t>
            </w:r>
          </w:p>
        </w:tc>
      </w:tr>
      <w:tr w:rsidR="00180718" w:rsidTr="00BB32C1">
        <w:trPr>
          <w:cantSplit/>
        </w:trPr>
        <w:tc>
          <w:tcPr>
            <w:tcW w:w="0" w:type="auto"/>
            <w:vAlign w:val="center"/>
          </w:tcPr>
          <w:p w:rsidR="00180718" w:rsidRPr="007C5FCF" w:rsidRDefault="00180718" w:rsidP="00180718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Întocmirea, avizarea și aprobarea Planului de activități al CJSU Dâmbovița pentru anul 2023.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Noiembrie</w:t>
            </w:r>
          </w:p>
        </w:tc>
        <w:tc>
          <w:tcPr>
            <w:tcW w:w="0" w:type="auto"/>
            <w:vAlign w:val="center"/>
          </w:tcPr>
          <w:p w:rsidR="00180718" w:rsidRDefault="00180718" w:rsidP="00BB32C1">
            <w:pPr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ISUJ – SThP</w:t>
            </w:r>
          </w:p>
        </w:tc>
      </w:tr>
    </w:tbl>
    <w:p w:rsidR="00180718" w:rsidRDefault="00180718" w:rsidP="00203A02">
      <w:pPr>
        <w:jc w:val="center"/>
        <w:rPr>
          <w:rFonts w:ascii="Tahoma" w:hAnsi="Tahoma" w:cs="Tahoma"/>
          <w:lang w:val="ro-RO"/>
        </w:rPr>
      </w:pPr>
    </w:p>
    <w:sectPr w:rsidR="00180718" w:rsidSect="00BB190A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23" w:rsidRDefault="00113A23" w:rsidP="00912FDC">
      <w:pPr>
        <w:spacing w:after="0" w:line="240" w:lineRule="auto"/>
      </w:pPr>
      <w:r>
        <w:separator/>
      </w:r>
    </w:p>
  </w:endnote>
  <w:endnote w:type="continuationSeparator" w:id="1">
    <w:p w:rsidR="00113A23" w:rsidRDefault="00113A23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10C4C">
      <w:rPr>
        <w:rFonts w:ascii="Tahoma" w:hAnsi="Tahoma" w:cs="Tahoma"/>
        <w:b/>
        <w:bCs/>
        <w:noProof/>
        <w:sz w:val="16"/>
        <w:szCs w:val="16"/>
      </w:rPr>
      <w:t>3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10C4C">
      <w:rPr>
        <w:rFonts w:ascii="Tahoma" w:hAnsi="Tahoma" w:cs="Tahoma"/>
        <w:b/>
        <w:bCs/>
        <w:noProof/>
        <w:sz w:val="16"/>
        <w:szCs w:val="16"/>
      </w:rPr>
      <w:t>3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10C4C">
      <w:rPr>
        <w:rFonts w:ascii="Tahoma" w:hAnsi="Tahoma" w:cs="Tahoma"/>
        <w:b/>
        <w:bCs/>
        <w:noProof/>
        <w:sz w:val="16"/>
        <w:szCs w:val="16"/>
      </w:rPr>
      <w:t>1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10C4C">
      <w:rPr>
        <w:rFonts w:ascii="Tahoma" w:hAnsi="Tahoma" w:cs="Tahoma"/>
        <w:b/>
        <w:bCs/>
        <w:noProof/>
        <w:sz w:val="16"/>
        <w:szCs w:val="16"/>
      </w:rPr>
      <w:t>1</w:t>
    </w:r>
    <w:r w:rsidR="007909B1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23" w:rsidRDefault="00113A23" w:rsidP="00912FDC">
      <w:pPr>
        <w:spacing w:after="0" w:line="240" w:lineRule="auto"/>
      </w:pPr>
      <w:r>
        <w:separator/>
      </w:r>
    </w:p>
  </w:footnote>
  <w:footnote w:type="continuationSeparator" w:id="1">
    <w:p w:rsidR="00113A23" w:rsidRDefault="00113A23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69AF"/>
    <w:multiLevelType w:val="hybridMultilevel"/>
    <w:tmpl w:val="50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15"/>
  </w:num>
  <w:num w:numId="6">
    <w:abstractNumId w:val="19"/>
  </w:num>
  <w:num w:numId="7">
    <w:abstractNumId w:val="24"/>
  </w:num>
  <w:num w:numId="8">
    <w:abstractNumId w:val="10"/>
  </w:num>
  <w:num w:numId="9">
    <w:abstractNumId w:val="20"/>
  </w:num>
  <w:num w:numId="10">
    <w:abstractNumId w:val="17"/>
  </w:num>
  <w:num w:numId="11">
    <w:abstractNumId w:val="22"/>
  </w:num>
  <w:num w:numId="12">
    <w:abstractNumId w:val="5"/>
  </w:num>
  <w:num w:numId="13">
    <w:abstractNumId w:val="12"/>
  </w:num>
  <w:num w:numId="14">
    <w:abstractNumId w:val="21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4"/>
  </w:num>
  <w:num w:numId="22">
    <w:abstractNumId w:val="3"/>
  </w:num>
  <w:num w:numId="23">
    <w:abstractNumId w:val="23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1550"/>
    <w:rsid w:val="00014837"/>
    <w:rsid w:val="00024CD9"/>
    <w:rsid w:val="000258FC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7820"/>
    <w:rsid w:val="000A0386"/>
    <w:rsid w:val="000A208A"/>
    <w:rsid w:val="000A231F"/>
    <w:rsid w:val="000A2B1C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13A23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43171"/>
    <w:rsid w:val="001437DA"/>
    <w:rsid w:val="001444FB"/>
    <w:rsid w:val="00150368"/>
    <w:rsid w:val="0015668F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711E"/>
    <w:rsid w:val="00180718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D06FD"/>
    <w:rsid w:val="001D161F"/>
    <w:rsid w:val="001D50F5"/>
    <w:rsid w:val="001D70E3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203A02"/>
    <w:rsid w:val="00205E64"/>
    <w:rsid w:val="002147DA"/>
    <w:rsid w:val="00220212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E9F"/>
    <w:rsid w:val="002A5788"/>
    <w:rsid w:val="002B4004"/>
    <w:rsid w:val="002B54BC"/>
    <w:rsid w:val="002C2251"/>
    <w:rsid w:val="002C505E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7839"/>
    <w:rsid w:val="003B4B04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B200A"/>
    <w:rsid w:val="004B3AEC"/>
    <w:rsid w:val="004B5DAE"/>
    <w:rsid w:val="004C2C47"/>
    <w:rsid w:val="004C5BD0"/>
    <w:rsid w:val="004D1746"/>
    <w:rsid w:val="004D2241"/>
    <w:rsid w:val="004E4A63"/>
    <w:rsid w:val="004E6255"/>
    <w:rsid w:val="004F06C1"/>
    <w:rsid w:val="004F0934"/>
    <w:rsid w:val="004F4D76"/>
    <w:rsid w:val="004F6E8B"/>
    <w:rsid w:val="00506FFA"/>
    <w:rsid w:val="005102B2"/>
    <w:rsid w:val="0052019B"/>
    <w:rsid w:val="00521EF0"/>
    <w:rsid w:val="00522488"/>
    <w:rsid w:val="005418FC"/>
    <w:rsid w:val="005436F7"/>
    <w:rsid w:val="00543C2A"/>
    <w:rsid w:val="00545995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B8E"/>
    <w:rsid w:val="005F3607"/>
    <w:rsid w:val="005F6D73"/>
    <w:rsid w:val="00602A8F"/>
    <w:rsid w:val="00607603"/>
    <w:rsid w:val="006120A8"/>
    <w:rsid w:val="00615396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51A8"/>
    <w:rsid w:val="006F2D43"/>
    <w:rsid w:val="006F3BA5"/>
    <w:rsid w:val="006F47B0"/>
    <w:rsid w:val="006F4993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339E5"/>
    <w:rsid w:val="0074421A"/>
    <w:rsid w:val="00745EC3"/>
    <w:rsid w:val="00750217"/>
    <w:rsid w:val="00752DAF"/>
    <w:rsid w:val="007570EE"/>
    <w:rsid w:val="00757201"/>
    <w:rsid w:val="007648B1"/>
    <w:rsid w:val="00765129"/>
    <w:rsid w:val="00770A73"/>
    <w:rsid w:val="007713F6"/>
    <w:rsid w:val="007722A6"/>
    <w:rsid w:val="00777321"/>
    <w:rsid w:val="007909B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80494C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3E3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B3B95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76824"/>
    <w:rsid w:val="00B87343"/>
    <w:rsid w:val="00B9078A"/>
    <w:rsid w:val="00B960AC"/>
    <w:rsid w:val="00B960C1"/>
    <w:rsid w:val="00B97320"/>
    <w:rsid w:val="00B9762D"/>
    <w:rsid w:val="00B97CBA"/>
    <w:rsid w:val="00BA319B"/>
    <w:rsid w:val="00BA4115"/>
    <w:rsid w:val="00BA7A5B"/>
    <w:rsid w:val="00BB190A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80F40"/>
    <w:rsid w:val="00C9047A"/>
    <w:rsid w:val="00C91334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F0181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47D0"/>
    <w:rsid w:val="00D35C83"/>
    <w:rsid w:val="00D37C7F"/>
    <w:rsid w:val="00D46EC3"/>
    <w:rsid w:val="00D47AB3"/>
    <w:rsid w:val="00D50AD9"/>
    <w:rsid w:val="00D64A03"/>
    <w:rsid w:val="00D6648F"/>
    <w:rsid w:val="00D7226B"/>
    <w:rsid w:val="00D76C09"/>
    <w:rsid w:val="00D81212"/>
    <w:rsid w:val="00D829E4"/>
    <w:rsid w:val="00D866EB"/>
    <w:rsid w:val="00D915C8"/>
    <w:rsid w:val="00D971D9"/>
    <w:rsid w:val="00D97DEE"/>
    <w:rsid w:val="00DA65EF"/>
    <w:rsid w:val="00DA6D31"/>
    <w:rsid w:val="00DB0F98"/>
    <w:rsid w:val="00DB32AF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FED"/>
    <w:rsid w:val="00E8542F"/>
    <w:rsid w:val="00E878B2"/>
    <w:rsid w:val="00E905E0"/>
    <w:rsid w:val="00E9279E"/>
    <w:rsid w:val="00E94A78"/>
    <w:rsid w:val="00E96B3D"/>
    <w:rsid w:val="00EA1E9E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0C4C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515B"/>
    <w:rsid w:val="00FA5254"/>
    <w:rsid w:val="00FB3E5B"/>
    <w:rsid w:val="00FB4C55"/>
    <w:rsid w:val="00FB515E"/>
    <w:rsid w:val="00FB644A"/>
    <w:rsid w:val="00FC1594"/>
    <w:rsid w:val="00FC16C3"/>
    <w:rsid w:val="00FC3345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9D4-E5CA-404E-BE2C-E45205C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2021-12-13T13:58:00Z</cp:lastPrinted>
  <dcterms:created xsi:type="dcterms:W3CDTF">2021-12-14T14:11:00Z</dcterms:created>
  <dcterms:modified xsi:type="dcterms:W3CDTF">2021-12-14T14:11:00Z</dcterms:modified>
</cp:coreProperties>
</file>